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52D4" w14:textId="77777777" w:rsidR="007249B3" w:rsidRPr="000A4679" w:rsidRDefault="0023667A">
      <w:pPr>
        <w:pStyle w:val="Title"/>
        <w:rPr>
          <w:u w:val="single"/>
        </w:rPr>
      </w:pPr>
      <w:r>
        <w:rPr>
          <w:u w:val="single"/>
        </w:rPr>
        <w:t xml:space="preserve">mutual </w:t>
      </w:r>
      <w:r w:rsidR="000A4679" w:rsidRPr="000A4679">
        <w:rPr>
          <w:u w:val="single"/>
        </w:rPr>
        <w:t xml:space="preserve">NON-DISCLOSURE </w:t>
      </w:r>
      <w:r w:rsidR="00F86F50" w:rsidRPr="000A4679">
        <w:rPr>
          <w:u w:val="single"/>
        </w:rPr>
        <w:t>Agreement</w:t>
      </w:r>
    </w:p>
    <w:p w14:paraId="514E52D5" w14:textId="77777777" w:rsidR="00F42068" w:rsidRPr="00F42068" w:rsidRDefault="000A4679" w:rsidP="00F42068">
      <w:pPr>
        <w:spacing w:before="240" w:line="276" w:lineRule="auto"/>
      </w:pPr>
      <w:r w:rsidRPr="001D3EF3">
        <w:t>This Non-Disclosure Agreement (</w:t>
      </w:r>
      <w:r w:rsidR="00CF060A" w:rsidRPr="001D3EF3">
        <w:t>"</w:t>
      </w:r>
      <w:r w:rsidRPr="001D3EF3">
        <w:rPr>
          <w:b/>
        </w:rPr>
        <w:t>Agreement</w:t>
      </w:r>
      <w:r w:rsidR="00CF060A" w:rsidRPr="001D3EF3">
        <w:t>"</w:t>
      </w:r>
      <w:r w:rsidR="00FD4D51" w:rsidRPr="001D3EF3">
        <w:t>)</w:t>
      </w:r>
      <w:r w:rsidR="00F42068">
        <w:t xml:space="preserve"> </w:t>
      </w:r>
      <w:r w:rsidRPr="001D3EF3">
        <w:t xml:space="preserve">is by and between </w:t>
      </w:r>
      <w:r w:rsidR="000C435F" w:rsidRPr="001D3EF3">
        <w:t>Ionomr Innovations Inc.</w:t>
      </w:r>
      <w:r w:rsidRPr="001D3EF3">
        <w:t xml:space="preserve">, </w:t>
      </w:r>
      <w:r w:rsidR="000C435F" w:rsidRPr="001D3EF3">
        <w:t xml:space="preserve">principally located </w:t>
      </w:r>
      <w:r w:rsidRPr="001D3EF3">
        <w:t xml:space="preserve">at </w:t>
      </w:r>
      <w:r w:rsidR="00F50E3C" w:rsidRPr="001D3EF3">
        <w:t>2386 East Mall – Suite 111, Vancouver, BC, Canada V6T 1Z3</w:t>
      </w:r>
      <w:r w:rsidRPr="001D3EF3">
        <w:t xml:space="preserve"> (</w:t>
      </w:r>
      <w:r w:rsidR="00CF060A" w:rsidRPr="001D3EF3">
        <w:t>"</w:t>
      </w:r>
      <w:r w:rsidR="0023667A" w:rsidRPr="001D3EF3">
        <w:rPr>
          <w:b/>
        </w:rPr>
        <w:t>Ionomr</w:t>
      </w:r>
      <w:r w:rsidR="00CF060A" w:rsidRPr="001D3EF3">
        <w:t>"</w:t>
      </w:r>
      <w:r w:rsidRPr="001D3EF3">
        <w:t xml:space="preserve">), and </w:t>
      </w:r>
      <w:r w:rsidR="000C435F" w:rsidRPr="00366B37">
        <w:rPr>
          <w:highlight w:val="yellow"/>
        </w:rPr>
        <w:t>__</w:t>
      </w:r>
      <w:r w:rsidR="001763EB" w:rsidRPr="00366B37">
        <w:rPr>
          <w:highlight w:val="yellow"/>
        </w:rPr>
        <w:t>______</w:t>
      </w:r>
      <w:r w:rsidR="000C435F" w:rsidRPr="00366B37">
        <w:rPr>
          <w:highlight w:val="yellow"/>
        </w:rPr>
        <w:t>____</w:t>
      </w:r>
      <w:proofErr w:type="gramStart"/>
      <w:r w:rsidR="000C435F" w:rsidRPr="00366B37">
        <w:rPr>
          <w:highlight w:val="yellow"/>
        </w:rPr>
        <w:t>_</w:t>
      </w:r>
      <w:r w:rsidR="00366B37">
        <w:rPr>
          <w:highlight w:val="yellow"/>
        </w:rPr>
        <w:t>[</w:t>
      </w:r>
      <w:proofErr w:type="gramEnd"/>
      <w:r w:rsidR="00366B37">
        <w:rPr>
          <w:highlight w:val="yellow"/>
        </w:rPr>
        <w:t>Company 1]</w:t>
      </w:r>
      <w:r w:rsidR="007A7913" w:rsidRPr="001D3EF3">
        <w:t>,</w:t>
      </w:r>
      <w:r w:rsidR="000C435F" w:rsidRPr="001D3EF3">
        <w:t xml:space="preserve"> principally located at </w:t>
      </w:r>
      <w:r w:rsidR="001763EB" w:rsidRPr="00366B37">
        <w:rPr>
          <w:highlight w:val="yellow"/>
        </w:rPr>
        <w:t>_____</w:t>
      </w:r>
      <w:r w:rsidR="000C435F" w:rsidRPr="00366B37">
        <w:rPr>
          <w:highlight w:val="yellow"/>
        </w:rPr>
        <w:t>________</w:t>
      </w:r>
      <w:r w:rsidR="00366B37" w:rsidRPr="00366B37">
        <w:rPr>
          <w:highlight w:val="yellow"/>
        </w:rPr>
        <w:t>[address]</w:t>
      </w:r>
      <w:r w:rsidR="007A7913" w:rsidRPr="001D3EF3">
        <w:t xml:space="preserve"> </w:t>
      </w:r>
      <w:r w:rsidRPr="001D3EF3">
        <w:t>(</w:t>
      </w:r>
      <w:r w:rsidR="00CF060A" w:rsidRPr="001D3EF3">
        <w:t>"</w:t>
      </w:r>
      <w:r w:rsidR="0023667A" w:rsidRPr="00692C21">
        <w:rPr>
          <w:b/>
          <w:highlight w:val="yellow"/>
        </w:rPr>
        <w:t>Company 1</w:t>
      </w:r>
      <w:r w:rsidR="00CF060A" w:rsidRPr="001D3EF3">
        <w:t>"</w:t>
      </w:r>
      <w:r w:rsidRPr="001D3EF3">
        <w:t>)</w:t>
      </w:r>
      <w:r w:rsidR="00814C42" w:rsidRPr="001D3EF3">
        <w:t>.</w:t>
      </w:r>
      <w:r w:rsidR="00F42068">
        <w:t xml:space="preserve"> </w:t>
      </w:r>
      <w:r w:rsidR="00F42068" w:rsidRPr="00F42068">
        <w:t>This Agreement will become effective upon the date of the last signature affixed below ("</w:t>
      </w:r>
      <w:r w:rsidR="00F42068" w:rsidRPr="00F42068">
        <w:rPr>
          <w:b/>
        </w:rPr>
        <w:t>Effective Date</w:t>
      </w:r>
      <w:r w:rsidR="00F42068" w:rsidRPr="00F42068">
        <w:t>").</w:t>
      </w:r>
    </w:p>
    <w:p w14:paraId="514E52D6" w14:textId="61A93E86" w:rsidR="000A4679" w:rsidRDefault="000A4679" w:rsidP="005E25EE">
      <w:pPr>
        <w:spacing w:before="240" w:line="276" w:lineRule="auto"/>
      </w:pPr>
      <w:r w:rsidRPr="00E40463">
        <w:rPr>
          <w:b/>
        </w:rPr>
        <w:t>WHEREAS</w:t>
      </w:r>
      <w:r>
        <w:t xml:space="preserve">, </w:t>
      </w:r>
      <w:r w:rsidR="00814C42">
        <w:t xml:space="preserve">Ionomr and </w:t>
      </w:r>
      <w:r w:rsidR="00814C42" w:rsidRPr="00814C42">
        <w:rPr>
          <w:highlight w:val="yellow"/>
        </w:rPr>
        <w:t>[Company 1]</w:t>
      </w:r>
      <w:r>
        <w:t xml:space="preserve">, for the mutual benefit of both parties, desire to disclose to </w:t>
      </w:r>
      <w:r w:rsidR="00814C42">
        <w:t xml:space="preserve">one another certain information the parties </w:t>
      </w:r>
      <w:r>
        <w:t>believe to be of a proprietary and confidential nature</w:t>
      </w:r>
      <w:r w:rsidR="00814C42">
        <w:t>,</w:t>
      </w:r>
      <w:r>
        <w:t xml:space="preserve"> for the purpose of </w:t>
      </w:r>
      <w:r w:rsidR="00E4276C" w:rsidRPr="00E4276C">
        <w:t xml:space="preserve"> </w:t>
      </w:r>
      <w:r w:rsidR="00E4276C" w:rsidRPr="00E4276C">
        <w:rPr>
          <w:highlight w:val="yellow"/>
        </w:rPr>
        <w:t xml:space="preserve">[evaluation of potential business relationships and testing of </w:t>
      </w:r>
      <w:r w:rsidR="00E4276C" w:rsidRPr="00E4276C">
        <w:rPr>
          <w:rFonts w:cs="Arial"/>
          <w:highlight w:val="yellow"/>
        </w:rPr>
        <w:t xml:space="preserve">ion-exchange membranes and polymers (ionomers), including anion-exchange membranes based on benzimidazolium or imidazolium chemistry, and proton exchange membranes based on </w:t>
      </w:r>
      <w:proofErr w:type="spellStart"/>
      <w:r w:rsidR="00E4276C" w:rsidRPr="00E4276C">
        <w:rPr>
          <w:rFonts w:cs="Arial"/>
          <w:highlight w:val="yellow"/>
        </w:rPr>
        <w:t>polyarylene</w:t>
      </w:r>
      <w:proofErr w:type="spellEnd"/>
      <w:r w:rsidR="00E4276C" w:rsidRPr="00E4276C">
        <w:rPr>
          <w:rFonts w:cs="Arial"/>
          <w:highlight w:val="yellow"/>
        </w:rPr>
        <w:t xml:space="preserve"> chemistry </w:t>
      </w:r>
      <w:r w:rsidR="00E4276C" w:rsidRPr="00E4276C">
        <w:rPr>
          <w:highlight w:val="yellow"/>
        </w:rPr>
        <w:t xml:space="preserve">into applications such as electrochemical systems including, but not limited to </w:t>
      </w:r>
      <w:proofErr w:type="spellStart"/>
      <w:r w:rsidR="00E4276C" w:rsidRPr="00E4276C">
        <w:rPr>
          <w:highlight w:val="yellow"/>
        </w:rPr>
        <w:t>electrolyzers</w:t>
      </w:r>
      <w:proofErr w:type="spellEnd"/>
      <w:r w:rsidR="00E4276C" w:rsidRPr="00E4276C">
        <w:rPr>
          <w:highlight w:val="yellow"/>
        </w:rPr>
        <w:t>, fuel cells,</w:t>
      </w:r>
      <w:r w:rsidR="00EA275C">
        <w:rPr>
          <w:highlight w:val="yellow"/>
        </w:rPr>
        <w:t xml:space="preserve"> batteries,</w:t>
      </w:r>
      <w:bookmarkStart w:id="0" w:name="_GoBack"/>
      <w:bookmarkEnd w:id="0"/>
      <w:r w:rsidR="00E4276C" w:rsidRPr="00E4276C">
        <w:rPr>
          <w:highlight w:val="yellow"/>
        </w:rPr>
        <w:t xml:space="preserve"> membrane-electrode assemblies, catalyst layers, coatings, or additives</w:t>
      </w:r>
      <w:r w:rsidR="00E4276C">
        <w:rPr>
          <w:highlight w:val="yellow"/>
        </w:rPr>
        <w:t>]</w:t>
      </w:r>
      <w:r w:rsidR="00E4276C">
        <w:t xml:space="preserve"> </w:t>
      </w:r>
      <w:r w:rsidR="00E90A37">
        <w:t>(</w:t>
      </w:r>
      <w:r w:rsidR="00E77C5E">
        <w:t>"</w:t>
      </w:r>
      <w:r w:rsidR="000C435F" w:rsidRPr="00E77C5E">
        <w:rPr>
          <w:b/>
        </w:rPr>
        <w:t>Purpose</w:t>
      </w:r>
      <w:r w:rsidR="00E77C5E">
        <w:t>"</w:t>
      </w:r>
      <w:r w:rsidR="00E90A37">
        <w:t>)</w:t>
      </w:r>
      <w:r>
        <w:t>.</w:t>
      </w:r>
    </w:p>
    <w:p w14:paraId="514E52D7" w14:textId="77777777" w:rsidR="000A4679" w:rsidRDefault="000A4679" w:rsidP="005E25EE">
      <w:pPr>
        <w:spacing w:before="240" w:line="276" w:lineRule="auto"/>
      </w:pPr>
      <w:r w:rsidRPr="00E40463">
        <w:rPr>
          <w:b/>
        </w:rPr>
        <w:t>WHEREAS</w:t>
      </w:r>
      <w:r>
        <w:t>, in connection with the</w:t>
      </w:r>
      <w:r w:rsidR="00814C42">
        <w:t xml:space="preserve"> Purpose</w:t>
      </w:r>
      <w:r>
        <w:t xml:space="preserve">, </w:t>
      </w:r>
      <w:r w:rsidR="00814C42">
        <w:t xml:space="preserve">the parties are </w:t>
      </w:r>
      <w:r>
        <w:t xml:space="preserve">willing to disclose to </w:t>
      </w:r>
      <w:r w:rsidR="00814C42">
        <w:t xml:space="preserve">one another </w:t>
      </w:r>
      <w:r>
        <w:t xml:space="preserve">certain confidential and proprietary information and material, and the </w:t>
      </w:r>
      <w:r w:rsidR="00814C42">
        <w:t xml:space="preserve">parties are </w:t>
      </w:r>
      <w:r>
        <w:t>willing to receive such information and material, all in accordance with the terms and conditions of this Agreement.</w:t>
      </w:r>
    </w:p>
    <w:p w14:paraId="514E52D8" w14:textId="77777777" w:rsidR="000A4679" w:rsidRDefault="000A4679" w:rsidP="005E25EE">
      <w:pPr>
        <w:spacing w:before="240" w:line="276" w:lineRule="auto"/>
      </w:pPr>
      <w:r>
        <w:t>NOW, THEREFORE, in consideration of the foregoing and of the mutual covenants set forth herein, the parties agree as follows:</w:t>
      </w:r>
    </w:p>
    <w:p w14:paraId="514E52D9" w14:textId="77777777" w:rsidR="00F42068" w:rsidRPr="00F42068" w:rsidRDefault="000A4679" w:rsidP="00F42068">
      <w:pPr>
        <w:spacing w:before="240" w:line="276" w:lineRule="auto"/>
      </w:pPr>
      <w:r w:rsidRPr="00F42068">
        <w:t>1.</w:t>
      </w:r>
      <w:r w:rsidRPr="00F42068">
        <w:tab/>
      </w:r>
      <w:r w:rsidRPr="00F42068">
        <w:rPr>
          <w:u w:val="single"/>
        </w:rPr>
        <w:t>Defined</w:t>
      </w:r>
      <w:r w:rsidRPr="00F42068">
        <w:t xml:space="preserve">. </w:t>
      </w:r>
      <w:r w:rsidR="00E40463" w:rsidRPr="00F42068">
        <w:t xml:space="preserve"> </w:t>
      </w:r>
      <w:r w:rsidR="00F42068" w:rsidRPr="00F42068">
        <w:t>As used in this Agreement and subject to the exclusions listed in Section 2 (Exclusions) below, the term "</w:t>
      </w:r>
      <w:r w:rsidR="00F42068" w:rsidRPr="00F42068">
        <w:rPr>
          <w:b/>
        </w:rPr>
        <w:t>Confidential Information</w:t>
      </w:r>
      <w:r w:rsidR="00F42068" w:rsidRPr="00F42068">
        <w:t xml:space="preserve">" includes documents, data, materials, and other information disclosed by the </w:t>
      </w:r>
      <w:r w:rsidR="006D6FA4">
        <w:t>d</w:t>
      </w:r>
      <w:r w:rsidR="00F42068" w:rsidRPr="00F42068">
        <w:t xml:space="preserve">isclosing </w:t>
      </w:r>
      <w:r w:rsidR="006D6FA4">
        <w:t>p</w:t>
      </w:r>
      <w:r w:rsidR="00F42068" w:rsidRPr="00F42068">
        <w:t xml:space="preserve">arty to the </w:t>
      </w:r>
      <w:r w:rsidR="006D6FA4">
        <w:t>r</w:t>
      </w:r>
      <w:r w:rsidR="00F42068" w:rsidRPr="00F42068">
        <w:t xml:space="preserve">eceiving </w:t>
      </w:r>
      <w:r w:rsidR="006D6FA4">
        <w:t>p</w:t>
      </w:r>
      <w:r w:rsidR="00F42068" w:rsidRPr="00F42068">
        <w:t xml:space="preserve">arty that concerns the business and affairs of the </w:t>
      </w:r>
      <w:r w:rsidR="006D6FA4">
        <w:t>d</w:t>
      </w:r>
      <w:r w:rsidR="00F42068" w:rsidRPr="00F42068">
        <w:t xml:space="preserve">isclosing </w:t>
      </w:r>
      <w:r w:rsidR="006D6FA4">
        <w:t>p</w:t>
      </w:r>
      <w:r w:rsidR="00F42068" w:rsidRPr="00F42068">
        <w:t xml:space="preserve">arty or any of its affiliates, including, but not limited to, intellectual property (e.g., patents, copyrights, trademarks, and trade secrets) and related applications, specifications, programs, source or object code, data, databases, products, designs, ideas, concepts, costs, prices, finances, marketing, systems, networks, personnel, customers, suppliers, research, flow charts, and other materials (tangible or intangible, machine or human readable), processes, techniques, know-how, analyses, plans, and procedures contained in or related to any of the foregoing, and any other nonpublic technical or business information of the </w:t>
      </w:r>
      <w:r w:rsidR="006D6FA4">
        <w:t>d</w:t>
      </w:r>
      <w:r w:rsidR="00F42068" w:rsidRPr="00F42068">
        <w:t xml:space="preserve">isclosing </w:t>
      </w:r>
      <w:r w:rsidR="006D6FA4">
        <w:t>p</w:t>
      </w:r>
      <w:r w:rsidR="00F42068" w:rsidRPr="00F42068">
        <w:t>arty.  A trade secret shall include, but not be limited to, proprietary technology, processes, and know-how, as well as any other information that may be deemed a trade secret under applicable law, whether or not in written form.</w:t>
      </w:r>
    </w:p>
    <w:p w14:paraId="514E52DA" w14:textId="77777777" w:rsidR="000A4679" w:rsidRDefault="00F42068" w:rsidP="00F42068">
      <w:pPr>
        <w:spacing w:before="240" w:line="276" w:lineRule="auto"/>
      </w:pPr>
      <w:r w:rsidRPr="00F42068">
        <w:t>Information will be deemed to be Confidential Information and governed by the obligations of nondisclosure and restricted use set forth in this Agreement, if it (</w:t>
      </w:r>
      <w:proofErr w:type="spellStart"/>
      <w:r w:rsidRPr="00F42068">
        <w:t>i</w:t>
      </w:r>
      <w:proofErr w:type="spellEnd"/>
      <w:r w:rsidRPr="00F42068">
        <w:t xml:space="preserve">) is clearly and conspicuously </w:t>
      </w:r>
      <w:r w:rsidRPr="00F42068">
        <w:lastRenderedPageBreak/>
        <w:t>marked as "confidential" or "proprietary" by the disclosing party, (ii) is orally identified as confidential at the time of disclosure and then subsequently summarized in written form in a clearly and conspicuously marked document and submitted to the receiving party within 20 days of the initial disclosure, or (iii) reasonably should be considered confidential due to the nature of the information and circumstances of disclosure.</w:t>
      </w:r>
    </w:p>
    <w:p w14:paraId="514E52DB" w14:textId="77777777" w:rsidR="000A4679" w:rsidRDefault="000A4679" w:rsidP="00E40463">
      <w:pPr>
        <w:spacing w:before="240" w:line="276" w:lineRule="auto"/>
      </w:pPr>
      <w:r>
        <w:t>2.</w:t>
      </w:r>
      <w:r>
        <w:tab/>
      </w:r>
      <w:r w:rsidRPr="00E40463">
        <w:rPr>
          <w:u w:val="single"/>
        </w:rPr>
        <w:t>Exclusions</w:t>
      </w:r>
      <w:r>
        <w:t xml:space="preserve">. </w:t>
      </w:r>
      <w:r w:rsidR="00E40463">
        <w:t xml:space="preserve"> </w:t>
      </w:r>
      <w:r>
        <w:t>Confidential Information does no</w:t>
      </w:r>
      <w:r w:rsidR="00582605">
        <w:t>t include information that: (</w:t>
      </w:r>
      <w:proofErr w:type="spellStart"/>
      <w:r w:rsidR="00582605">
        <w:t>i</w:t>
      </w:r>
      <w:proofErr w:type="spellEnd"/>
      <w:r w:rsidR="00582605">
        <w:t>) </w:t>
      </w:r>
      <w:r w:rsidR="00874EA7">
        <w:t>was already lawfully in the r</w:t>
      </w:r>
      <w:r>
        <w:t xml:space="preserve">eceiving </w:t>
      </w:r>
      <w:r w:rsidR="00874EA7">
        <w:t>p</w:t>
      </w:r>
      <w:r>
        <w:t>arty</w:t>
      </w:r>
      <w:r w:rsidR="00CF060A">
        <w:t>'</w:t>
      </w:r>
      <w:r>
        <w:t xml:space="preserve">s possession at the time of disclosure by the </w:t>
      </w:r>
      <w:r w:rsidR="00AD5D8E">
        <w:t>d</w:t>
      </w:r>
      <w:r>
        <w:t xml:space="preserve">isclosing </w:t>
      </w:r>
      <w:r w:rsidR="00AD5D8E">
        <w:t>p</w:t>
      </w:r>
      <w:r>
        <w:t>arty as evidenced through written documentati</w:t>
      </w:r>
      <w:r w:rsidR="00582605">
        <w:t xml:space="preserve">on of the </w:t>
      </w:r>
      <w:r w:rsidR="00AD5D8E">
        <w:t>r</w:t>
      </w:r>
      <w:r w:rsidR="00582605">
        <w:t xml:space="preserve">eceiving </w:t>
      </w:r>
      <w:r w:rsidR="00AD5D8E">
        <w:t>p</w:t>
      </w:r>
      <w:r w:rsidR="00582605">
        <w:t>arty; (ii) </w:t>
      </w:r>
      <w:r>
        <w:t xml:space="preserve">is or becomes publicly available other than by the </w:t>
      </w:r>
      <w:r w:rsidR="00AD5D8E">
        <w:t>r</w:t>
      </w:r>
      <w:r>
        <w:t xml:space="preserve">eceiving </w:t>
      </w:r>
      <w:r w:rsidR="00AD5D8E">
        <w:t>p</w:t>
      </w:r>
      <w:r>
        <w:t>arty</w:t>
      </w:r>
      <w:r w:rsidR="00CF060A">
        <w:t>'</w:t>
      </w:r>
      <w:r>
        <w:t>s violation of this Agreement or other faul</w:t>
      </w:r>
      <w:r w:rsidR="00582605">
        <w:t xml:space="preserve">t of the </w:t>
      </w:r>
      <w:r w:rsidR="00AD5D8E">
        <w:t>r</w:t>
      </w:r>
      <w:r w:rsidR="00582605">
        <w:t xml:space="preserve">eceiving </w:t>
      </w:r>
      <w:r w:rsidR="00AD5D8E">
        <w:t>p</w:t>
      </w:r>
      <w:r w:rsidR="00582605">
        <w:t>arty; (iii) </w:t>
      </w:r>
      <w:r>
        <w:t xml:space="preserve">is received by the </w:t>
      </w:r>
      <w:r w:rsidR="00AD5D8E">
        <w:t>r</w:t>
      </w:r>
      <w:r>
        <w:t xml:space="preserve">eceiving </w:t>
      </w:r>
      <w:r w:rsidR="00AD5D8E">
        <w:t>p</w:t>
      </w:r>
      <w:r>
        <w:t xml:space="preserve">arty from a third party which, to the knowledge of the </w:t>
      </w:r>
      <w:r w:rsidR="00AD5D8E">
        <w:t>r</w:t>
      </w:r>
      <w:r>
        <w:t xml:space="preserve">eceiving </w:t>
      </w:r>
      <w:r w:rsidR="00AD5D8E">
        <w:t>p</w:t>
      </w:r>
      <w:r>
        <w:t xml:space="preserve">arty after its reasonable inquiry and investigation, is rightfully in possession of such information free of any obligation to maintain its confidentiality, as evidenced through written documentation of the </w:t>
      </w:r>
      <w:r w:rsidR="00AD5D8E">
        <w:t>r</w:t>
      </w:r>
      <w:r>
        <w:t xml:space="preserve">eceiving </w:t>
      </w:r>
      <w:r w:rsidR="00AD5D8E">
        <w:t>p</w:t>
      </w:r>
      <w:r>
        <w:t>arty.</w:t>
      </w:r>
    </w:p>
    <w:p w14:paraId="514E52DC" w14:textId="77777777" w:rsidR="000A4679" w:rsidRDefault="000A4679" w:rsidP="00E40463">
      <w:pPr>
        <w:spacing w:before="240" w:line="276" w:lineRule="auto"/>
      </w:pPr>
      <w:r>
        <w:t>3.</w:t>
      </w:r>
      <w:r>
        <w:tab/>
      </w:r>
      <w:r w:rsidRPr="00E40463">
        <w:rPr>
          <w:u w:val="single"/>
        </w:rPr>
        <w:t>Nonuse and Nondisclosure</w:t>
      </w:r>
      <w:r>
        <w:t xml:space="preserve">. </w:t>
      </w:r>
      <w:r w:rsidR="00E40463">
        <w:t xml:space="preserve"> </w:t>
      </w:r>
      <w:r>
        <w:t xml:space="preserve">The </w:t>
      </w:r>
      <w:r w:rsidR="00AD5D8E">
        <w:t>r</w:t>
      </w:r>
      <w:r>
        <w:t xml:space="preserve">eceiving </w:t>
      </w:r>
      <w:r w:rsidR="00AD5D8E">
        <w:t>p</w:t>
      </w:r>
      <w:r>
        <w:t xml:space="preserve">arty will use the Confidential Information of the </w:t>
      </w:r>
      <w:r w:rsidR="00AD5D8E">
        <w:t>d</w:t>
      </w:r>
      <w:r>
        <w:t xml:space="preserve">isclosing </w:t>
      </w:r>
      <w:r w:rsidR="00AD5D8E">
        <w:t>p</w:t>
      </w:r>
      <w:r w:rsidR="007F6950">
        <w:t xml:space="preserve">arty solely </w:t>
      </w:r>
      <w:r w:rsidR="00F42068">
        <w:t>for</w:t>
      </w:r>
      <w:r w:rsidR="007F6950">
        <w:t xml:space="preserve"> the Purpose</w:t>
      </w:r>
      <w:r>
        <w:t xml:space="preserve">, </w:t>
      </w:r>
      <w:r w:rsidR="00EE533F">
        <w:t>but not to the detriment of the disclosing party</w:t>
      </w:r>
      <w:r w:rsidR="006B471B">
        <w:t xml:space="preserve"> or the benefit of a third party</w:t>
      </w:r>
      <w:r>
        <w:t xml:space="preserve">. The </w:t>
      </w:r>
      <w:r w:rsidR="00AD5D8E">
        <w:t>r</w:t>
      </w:r>
      <w:r>
        <w:t xml:space="preserve">eceiving </w:t>
      </w:r>
      <w:r w:rsidR="00AD5D8E">
        <w:t>p</w:t>
      </w:r>
      <w:r>
        <w:t xml:space="preserve">arty will hold the Confidential Information of the </w:t>
      </w:r>
      <w:r w:rsidR="00AD5D8E">
        <w:t>d</w:t>
      </w:r>
      <w:r>
        <w:t xml:space="preserve">isclosing </w:t>
      </w:r>
      <w:r w:rsidR="00AD5D8E">
        <w:t>p</w:t>
      </w:r>
      <w:r>
        <w:t xml:space="preserve">arty in strict confidence, and will not, without the prior written consent of the </w:t>
      </w:r>
      <w:r w:rsidR="00AD5D8E">
        <w:t>d</w:t>
      </w:r>
      <w:r>
        <w:t xml:space="preserve">isclosing </w:t>
      </w:r>
      <w:r w:rsidR="00AD5D8E">
        <w:t>p</w:t>
      </w:r>
      <w:r>
        <w:t xml:space="preserve">arty, copy, or provide or disclose to any third party, all or any portion thereof; provided, however, that, to the extent reasonably necessary for the </w:t>
      </w:r>
      <w:r w:rsidR="007F6950">
        <w:t>r</w:t>
      </w:r>
      <w:r>
        <w:t xml:space="preserve">eceiving </w:t>
      </w:r>
      <w:r w:rsidR="007F6950">
        <w:t>p</w:t>
      </w:r>
      <w:r>
        <w:t xml:space="preserve">arty to engage in discussions with the </w:t>
      </w:r>
      <w:r w:rsidR="007F6950">
        <w:t>d</w:t>
      </w:r>
      <w:r>
        <w:t xml:space="preserve">isclosing </w:t>
      </w:r>
      <w:r w:rsidR="007F6950">
        <w:t>p</w:t>
      </w:r>
      <w:r>
        <w:t>arty concerning</w:t>
      </w:r>
      <w:r w:rsidR="0055323E">
        <w:t xml:space="preserve"> the</w:t>
      </w:r>
      <w:r w:rsidR="007F6950">
        <w:t xml:space="preserve"> Purpose</w:t>
      </w:r>
      <w:r>
        <w:t xml:space="preserve">, the </w:t>
      </w:r>
      <w:r w:rsidR="007F6950">
        <w:t>r</w:t>
      </w:r>
      <w:r>
        <w:t xml:space="preserve">eceiving </w:t>
      </w:r>
      <w:r w:rsidR="007F6950">
        <w:t>p</w:t>
      </w:r>
      <w:r>
        <w:t>arty may make tangible copies of any such Confidential Information; provided, further, however, that all such copies shall be subject in all respects to the provisions of Sect</w:t>
      </w:r>
      <w:r w:rsidR="004E21CE">
        <w:t>ion </w:t>
      </w:r>
      <w:r>
        <w:t>5 (Return of Documents) hereof. Witho</w:t>
      </w:r>
      <w:r w:rsidR="007F6950">
        <w:t>ut limiting the foregoing, the r</w:t>
      </w:r>
      <w:r>
        <w:t xml:space="preserve">eceiving </w:t>
      </w:r>
      <w:r w:rsidR="007F6950">
        <w:t>p</w:t>
      </w:r>
      <w:r>
        <w:t xml:space="preserve">arty will protect Confidential Information of the </w:t>
      </w:r>
      <w:r w:rsidR="007F6950">
        <w:t>d</w:t>
      </w:r>
      <w:r>
        <w:t xml:space="preserve">isclosing </w:t>
      </w:r>
      <w:r w:rsidR="007F6950">
        <w:t>p</w:t>
      </w:r>
      <w:r>
        <w:t>arty from reproduction, use, or disclosure other than as permitted herein, including but not</w:t>
      </w:r>
      <w:r w:rsidR="00E40463">
        <w:t xml:space="preserve"> </w:t>
      </w:r>
      <w:r>
        <w:t xml:space="preserve">limited to taking all steps that the </w:t>
      </w:r>
      <w:r w:rsidR="007F6950">
        <w:t>r</w:t>
      </w:r>
      <w:r>
        <w:t xml:space="preserve">eceiving </w:t>
      </w:r>
      <w:r w:rsidR="007F6950">
        <w:t>p</w:t>
      </w:r>
      <w:r>
        <w:t xml:space="preserve">arty takes to protect its own information that it considers confidential, proprietary, and/or trade secret. The </w:t>
      </w:r>
      <w:r w:rsidR="007F6950">
        <w:t>r</w:t>
      </w:r>
      <w:r>
        <w:t xml:space="preserve">eceiving </w:t>
      </w:r>
      <w:r w:rsidR="007F6950">
        <w:t>p</w:t>
      </w:r>
      <w:r>
        <w:t xml:space="preserve">arty may disclose Confidential Information of the </w:t>
      </w:r>
      <w:r w:rsidR="007F6950">
        <w:t>d</w:t>
      </w:r>
      <w:r>
        <w:t xml:space="preserve">isclosing </w:t>
      </w:r>
      <w:r w:rsidR="007F6950">
        <w:t>p</w:t>
      </w:r>
      <w:r>
        <w:t>arty to the employees, officers, directors</w:t>
      </w:r>
      <w:r w:rsidR="00F42068">
        <w:t>,</w:t>
      </w:r>
      <w:r>
        <w:t xml:space="preserve"> and agents (collectively, </w:t>
      </w:r>
      <w:r w:rsidR="00CF060A">
        <w:t>"</w:t>
      </w:r>
      <w:r>
        <w:t>Representatives</w:t>
      </w:r>
      <w:r w:rsidR="00CF060A">
        <w:t>"</w:t>
      </w:r>
      <w:r>
        <w:t xml:space="preserve">) of the </w:t>
      </w:r>
      <w:r w:rsidR="007F6950">
        <w:t>r</w:t>
      </w:r>
      <w:r>
        <w:t xml:space="preserve">eceiving </w:t>
      </w:r>
      <w:r w:rsidR="007F6950">
        <w:t>p</w:t>
      </w:r>
      <w:r>
        <w:t xml:space="preserve">arty with a bona fide need to know such Confidential Information, but only to the extent necessary for the </w:t>
      </w:r>
      <w:r w:rsidR="007F6950">
        <w:t>r</w:t>
      </w:r>
      <w:r>
        <w:t xml:space="preserve">eceiving </w:t>
      </w:r>
      <w:r w:rsidR="007F6950">
        <w:t>p</w:t>
      </w:r>
      <w:r>
        <w:t xml:space="preserve">arty to </w:t>
      </w:r>
      <w:r w:rsidR="00363078">
        <w:t>work on the</w:t>
      </w:r>
      <w:r w:rsidR="007F6950">
        <w:t xml:space="preserve"> Purpose</w:t>
      </w:r>
      <w:r>
        <w:t xml:space="preserve">; provided, however, that, prior to any such disclosure to the applicable Representative, </w:t>
      </w:r>
      <w:r w:rsidR="007F6950">
        <w:t>d</w:t>
      </w:r>
      <w:r>
        <w:t xml:space="preserve">isclosing </w:t>
      </w:r>
      <w:r w:rsidR="007F6950">
        <w:t>p</w:t>
      </w:r>
      <w:r>
        <w:t xml:space="preserve">arty represents that each such Representative shall be bound by restrictions on use and disclosure at least as protective of such Confidential Information as those imposed on the </w:t>
      </w:r>
      <w:r w:rsidR="007F6950">
        <w:t>r</w:t>
      </w:r>
      <w:r>
        <w:t xml:space="preserve">eceiving </w:t>
      </w:r>
      <w:r w:rsidR="007F6950">
        <w:t>p</w:t>
      </w:r>
      <w:r>
        <w:t xml:space="preserve">arty herein, without any right of further disclosure, and the </w:t>
      </w:r>
      <w:r w:rsidR="007F6950">
        <w:t>r</w:t>
      </w:r>
      <w:r>
        <w:t xml:space="preserve">eceiving </w:t>
      </w:r>
      <w:r w:rsidR="007F6950">
        <w:t>p</w:t>
      </w:r>
      <w:r>
        <w:t xml:space="preserve">arty remains responsible for procuring that its Representatives comply with such restrictions. The </w:t>
      </w:r>
      <w:r w:rsidR="007F6950">
        <w:t>r</w:t>
      </w:r>
      <w:r>
        <w:t xml:space="preserve">eceiving </w:t>
      </w:r>
      <w:r w:rsidR="007F6950">
        <w:t>p</w:t>
      </w:r>
      <w:r>
        <w:t xml:space="preserve">arty shall be liable for any damage caused by or resulting from any unauthorized disclosure or use of the Confidential Information by the </w:t>
      </w:r>
      <w:r w:rsidR="007F6950">
        <w:t>r</w:t>
      </w:r>
      <w:r>
        <w:t xml:space="preserve">eceiving </w:t>
      </w:r>
      <w:r w:rsidR="007F6950">
        <w:t>p</w:t>
      </w:r>
      <w:r>
        <w:t>arty</w:t>
      </w:r>
      <w:r w:rsidR="00CF060A">
        <w:t>'</w:t>
      </w:r>
      <w:r>
        <w:t xml:space="preserve">s Representatives. If the </w:t>
      </w:r>
      <w:r w:rsidR="007F6950">
        <w:t>r</w:t>
      </w:r>
      <w:r>
        <w:t xml:space="preserve">eceiving </w:t>
      </w:r>
      <w:r w:rsidR="007F6950">
        <w:t>p</w:t>
      </w:r>
      <w:r>
        <w:t xml:space="preserve">arty becomes obliged to disclose such Confidential Information to any governmental authority, court, or other tribunal or applicable securities exchange, the </w:t>
      </w:r>
      <w:r w:rsidR="007F6950">
        <w:t>r</w:t>
      </w:r>
      <w:r>
        <w:t xml:space="preserve">eceiving </w:t>
      </w:r>
      <w:r w:rsidR="007F6950">
        <w:t>p</w:t>
      </w:r>
      <w:r>
        <w:t xml:space="preserve">arty promptly shall notify the </w:t>
      </w:r>
      <w:r w:rsidR="007F6950">
        <w:t>d</w:t>
      </w:r>
      <w:r>
        <w:t xml:space="preserve">isclosing </w:t>
      </w:r>
      <w:r w:rsidR="007F6950">
        <w:t>p</w:t>
      </w:r>
      <w:r>
        <w:t xml:space="preserve">arty, to the extent reasonably practicable under the circumstances and not otherwise prohibited by applicable law, so </w:t>
      </w:r>
      <w:r>
        <w:lastRenderedPageBreak/>
        <w:t xml:space="preserve">that the </w:t>
      </w:r>
      <w:r w:rsidR="007F6950">
        <w:t>d</w:t>
      </w:r>
      <w:r>
        <w:t xml:space="preserve">isclosing </w:t>
      </w:r>
      <w:r w:rsidR="007F6950">
        <w:t>p</w:t>
      </w:r>
      <w:r>
        <w:t xml:space="preserve">arty may seek an appropriate protective order or other remedy to resist or narrow the scope of the required disclosure. In the absence of such a protective order or other remedy, the </w:t>
      </w:r>
      <w:r w:rsidR="007F6950">
        <w:t>r</w:t>
      </w:r>
      <w:r>
        <w:t xml:space="preserve">eceiving </w:t>
      </w:r>
      <w:r w:rsidR="007F6950">
        <w:t>p</w:t>
      </w:r>
      <w:r>
        <w:t xml:space="preserve">arty shall limit any such disclosure to such portion of the Confidential Information as is required by laws or the rules of any applicable securities exchange to be disclosed and take reasonable steps in any such disclosure to have the entity requiring such disclosure to protect to the greatest extent possible the confidentiality of all information so disclosed. Any such disclosure by the </w:t>
      </w:r>
      <w:r w:rsidR="007F6950">
        <w:t>r</w:t>
      </w:r>
      <w:r>
        <w:t xml:space="preserve">eceiving </w:t>
      </w:r>
      <w:r w:rsidR="007F6950">
        <w:t>p</w:t>
      </w:r>
      <w:r>
        <w:t xml:space="preserve">arty shall in no event otherwise change, alter or diminish the confidential, proprietary, and/or trade secret status of such Confidential Information, or treatment as such by the </w:t>
      </w:r>
      <w:r w:rsidR="007F6950">
        <w:t>r</w:t>
      </w:r>
      <w:r>
        <w:t xml:space="preserve">eceiving </w:t>
      </w:r>
      <w:r w:rsidR="007F6950">
        <w:t>p</w:t>
      </w:r>
      <w:r>
        <w:t>arty, under this Agreement.</w:t>
      </w:r>
    </w:p>
    <w:p w14:paraId="514E52DD" w14:textId="77777777" w:rsidR="000A4679" w:rsidRDefault="000A4679" w:rsidP="00E40463">
      <w:pPr>
        <w:spacing w:before="240" w:line="276" w:lineRule="auto"/>
      </w:pPr>
      <w:r>
        <w:t>4.</w:t>
      </w:r>
      <w:r>
        <w:tab/>
      </w:r>
      <w:r w:rsidRPr="00E40463">
        <w:rPr>
          <w:u w:val="single"/>
        </w:rPr>
        <w:t>Equitable Relief</w:t>
      </w:r>
      <w:r>
        <w:t xml:space="preserve">. </w:t>
      </w:r>
      <w:r w:rsidR="00E40463">
        <w:t xml:space="preserve"> </w:t>
      </w:r>
      <w:r>
        <w:t xml:space="preserve">The </w:t>
      </w:r>
      <w:r w:rsidR="007F6950">
        <w:t>r</w:t>
      </w:r>
      <w:r>
        <w:t xml:space="preserve">eceiving </w:t>
      </w:r>
      <w:r w:rsidR="007F6950">
        <w:t>p</w:t>
      </w:r>
      <w:r>
        <w:t>arty agrees and acknowledges that (</w:t>
      </w:r>
      <w:proofErr w:type="spellStart"/>
      <w:r>
        <w:t>i</w:t>
      </w:r>
      <w:proofErr w:type="spellEnd"/>
      <w:r>
        <w:t xml:space="preserve">) any breach or threatened breach of this Agreement by the </w:t>
      </w:r>
      <w:r w:rsidR="00DD5FF9">
        <w:t>r</w:t>
      </w:r>
      <w:r>
        <w:t xml:space="preserve">eceiving </w:t>
      </w:r>
      <w:r w:rsidR="00DD5FF9">
        <w:t>p</w:t>
      </w:r>
      <w:r>
        <w:t xml:space="preserve">arty may irreparably harm the </w:t>
      </w:r>
      <w:r w:rsidR="00DD5FF9">
        <w:t>d</w:t>
      </w:r>
      <w:r>
        <w:t xml:space="preserve">isclosing </w:t>
      </w:r>
      <w:r w:rsidR="00DD5FF9">
        <w:t>p</w:t>
      </w:r>
      <w:r>
        <w:t xml:space="preserve">arty and (ii) any remedy at law for any such breach or threatened breach may be inadequate to fully and properly compensate and otherwise protect the </w:t>
      </w:r>
      <w:r w:rsidR="00DD5FF9">
        <w:t>d</w:t>
      </w:r>
      <w:r>
        <w:t xml:space="preserve">isclosing </w:t>
      </w:r>
      <w:r w:rsidR="00DD5FF9">
        <w:t>p</w:t>
      </w:r>
      <w:r>
        <w:t xml:space="preserve">arty. </w:t>
      </w:r>
      <w:r w:rsidRPr="0055323E">
        <w:t xml:space="preserve">Therefore, the parties agree that the </w:t>
      </w:r>
      <w:r w:rsidR="00DD5FF9">
        <w:t>d</w:t>
      </w:r>
      <w:r w:rsidRPr="0055323E">
        <w:t xml:space="preserve">isclosing </w:t>
      </w:r>
      <w:r w:rsidR="00DD5FF9">
        <w:t>p</w:t>
      </w:r>
      <w:r w:rsidRPr="0055323E">
        <w:t>arty may seek injunctive relief for any such breach or threatened breach in addition to other available remedies.</w:t>
      </w:r>
    </w:p>
    <w:p w14:paraId="514E52DE" w14:textId="77777777" w:rsidR="000A4679" w:rsidRDefault="000A4679" w:rsidP="00E40463">
      <w:pPr>
        <w:spacing w:before="240" w:line="276" w:lineRule="auto"/>
      </w:pPr>
      <w:r>
        <w:t>5.</w:t>
      </w:r>
      <w:r>
        <w:tab/>
      </w:r>
      <w:r w:rsidRPr="00E40463">
        <w:rPr>
          <w:u w:val="single"/>
        </w:rPr>
        <w:t>Return of Documents</w:t>
      </w:r>
      <w:r>
        <w:t xml:space="preserve">. </w:t>
      </w:r>
      <w:r w:rsidR="00E40463">
        <w:t xml:space="preserve"> </w:t>
      </w:r>
      <w:r>
        <w:t xml:space="preserve">Upon the </w:t>
      </w:r>
      <w:r w:rsidR="00DD5FF9">
        <w:t>d</w:t>
      </w:r>
      <w:r>
        <w:t xml:space="preserve">isclosing </w:t>
      </w:r>
      <w:r w:rsidR="00F42068">
        <w:t>p</w:t>
      </w:r>
      <w:r>
        <w:t>arty</w:t>
      </w:r>
      <w:r w:rsidR="00CF060A">
        <w:t>'</w:t>
      </w:r>
      <w:r>
        <w:t xml:space="preserve">s written request, the </w:t>
      </w:r>
      <w:r w:rsidR="00DD5FF9">
        <w:t>r</w:t>
      </w:r>
      <w:r>
        <w:t xml:space="preserve">eceiving </w:t>
      </w:r>
      <w:r w:rsidR="00DD5FF9">
        <w:t>p</w:t>
      </w:r>
      <w:r>
        <w:t>arty will promptly: (</w:t>
      </w:r>
      <w:proofErr w:type="spellStart"/>
      <w:r>
        <w:t>i</w:t>
      </w:r>
      <w:proofErr w:type="spellEnd"/>
      <w:r>
        <w:t xml:space="preserve">) return and delete from the </w:t>
      </w:r>
      <w:r w:rsidR="00DD5FF9">
        <w:t>r</w:t>
      </w:r>
      <w:r>
        <w:t xml:space="preserve">eceiving </w:t>
      </w:r>
      <w:r w:rsidR="00DD5FF9">
        <w:t>p</w:t>
      </w:r>
      <w:r>
        <w:t>arty</w:t>
      </w:r>
      <w:r w:rsidR="00CF060A">
        <w:t>'</w:t>
      </w:r>
      <w:r>
        <w:t xml:space="preserve">s computer systems, or, at the </w:t>
      </w:r>
      <w:r w:rsidR="00DD5FF9">
        <w:t>d</w:t>
      </w:r>
      <w:r>
        <w:t xml:space="preserve">isclosing </w:t>
      </w:r>
      <w:r w:rsidR="00DD5FF9">
        <w:t>p</w:t>
      </w:r>
      <w:r>
        <w:t>arty</w:t>
      </w:r>
      <w:r w:rsidR="00CF060A">
        <w:t>'</w:t>
      </w:r>
      <w:r>
        <w:t xml:space="preserve">s option, destroy, all originals and copies, whether tangible, electronic, or other, of all documents, data, materials, and other information thereof in the </w:t>
      </w:r>
      <w:r w:rsidR="00DD5FF9">
        <w:t>r</w:t>
      </w:r>
      <w:r>
        <w:t xml:space="preserve">eceiving </w:t>
      </w:r>
      <w:r w:rsidR="00DD5FF9">
        <w:t>p</w:t>
      </w:r>
      <w:r>
        <w:t>arty</w:t>
      </w:r>
      <w:r w:rsidR="00CF060A">
        <w:t>'</w:t>
      </w:r>
      <w:r>
        <w:t xml:space="preserve">s possession, custody, or control that constitute Confidential Information of the </w:t>
      </w:r>
      <w:r w:rsidR="00DD5FF9">
        <w:t>d</w:t>
      </w:r>
      <w:r>
        <w:t xml:space="preserve">isclosing </w:t>
      </w:r>
      <w:r w:rsidR="00DD5FF9">
        <w:t>p</w:t>
      </w:r>
      <w:r>
        <w:t xml:space="preserve">arty; and (ii) provide a written statement to the </w:t>
      </w:r>
      <w:r w:rsidR="00DD5FF9">
        <w:t>d</w:t>
      </w:r>
      <w:r>
        <w:t xml:space="preserve">isclosing </w:t>
      </w:r>
      <w:r w:rsidR="00DD5FF9">
        <w:t>p</w:t>
      </w:r>
      <w:r>
        <w:t xml:space="preserve">arty certifying that all such documents, data, materials, and other information have been so delivered or destroyed. For purposes of this section, </w:t>
      </w:r>
      <w:r w:rsidR="00CF060A">
        <w:t>"</w:t>
      </w:r>
      <w:r>
        <w:t>documents, data, materials, and other information</w:t>
      </w:r>
      <w:r w:rsidR="00CF060A">
        <w:t>"</w:t>
      </w:r>
      <w:r>
        <w:t xml:space="preserve"> includes without limitation all information fixed in any tangible medium of expression, in whatever form or format. </w:t>
      </w:r>
      <w:r w:rsidRPr="0055323E">
        <w:t xml:space="preserve">The </w:t>
      </w:r>
      <w:r w:rsidR="00DD5FF9">
        <w:t>r</w:t>
      </w:r>
      <w:r w:rsidRPr="0055323E">
        <w:t xml:space="preserve">eceiving </w:t>
      </w:r>
      <w:r w:rsidR="00DD5FF9">
        <w:t>p</w:t>
      </w:r>
      <w:r w:rsidRPr="0055323E">
        <w:t xml:space="preserve">arty may keep one (1) copy of the Confidential Information of the </w:t>
      </w:r>
      <w:r w:rsidR="00DD5FF9">
        <w:t>d</w:t>
      </w:r>
      <w:r w:rsidRPr="0055323E">
        <w:t xml:space="preserve">isclosing </w:t>
      </w:r>
      <w:r w:rsidR="00DD5FF9">
        <w:t>p</w:t>
      </w:r>
      <w:r w:rsidRPr="0055323E">
        <w:t xml:space="preserve">arty so that any continuing obligations may be determined and to comply with its internal policies or guidelines, or to the extent otherwise required by any law or regulation or legal or judicial process, provided that the confidentiality provision of this Agreement shall continue to apply to any retained Confidential Information. The </w:t>
      </w:r>
      <w:r w:rsidR="007D32D0">
        <w:t>r</w:t>
      </w:r>
      <w:r w:rsidRPr="0055323E">
        <w:t xml:space="preserve">eceiving </w:t>
      </w:r>
      <w:r w:rsidR="007D32D0">
        <w:t>p</w:t>
      </w:r>
      <w:r w:rsidRPr="0055323E">
        <w:t>arty shall not be required to destroy any computer files stored securely that are created during automatic system back-ups.</w:t>
      </w:r>
    </w:p>
    <w:p w14:paraId="514E52DF" w14:textId="77777777" w:rsidR="000A4679" w:rsidRDefault="00F42068" w:rsidP="00E40463">
      <w:pPr>
        <w:spacing w:before="240" w:line="276" w:lineRule="auto"/>
      </w:pPr>
      <w:r>
        <w:t>6</w:t>
      </w:r>
      <w:r w:rsidR="000A4679">
        <w:t>.</w:t>
      </w:r>
      <w:r w:rsidR="000A4679">
        <w:tab/>
      </w:r>
      <w:r w:rsidR="000A4679" w:rsidRPr="00E40463">
        <w:rPr>
          <w:u w:val="single"/>
        </w:rPr>
        <w:t>No Obligation</w:t>
      </w:r>
      <w:r w:rsidR="000A4679">
        <w:t xml:space="preserve">. </w:t>
      </w:r>
      <w:r w:rsidR="00E40463">
        <w:t xml:space="preserve"> </w:t>
      </w:r>
      <w:r w:rsidR="000A4679">
        <w:t>Each party hereto acknowledges and agrees that nothing herein is intended to, or will, obligate the other party to provide or disclose any Confidential Information to such party, and the terms and conditions of this Agreement shall apply only to such Confidential Information that such other party elects, in its sole discretion, to provide or disclose to such party.</w:t>
      </w:r>
    </w:p>
    <w:p w14:paraId="514E52E0" w14:textId="77777777" w:rsidR="000A4679" w:rsidRDefault="00F42068" w:rsidP="00E40463">
      <w:pPr>
        <w:spacing w:before="240" w:line="276" w:lineRule="auto"/>
      </w:pPr>
      <w:r>
        <w:t>7</w:t>
      </w:r>
      <w:r w:rsidR="000A4679">
        <w:t>.</w:t>
      </w:r>
      <w:r w:rsidR="000A4679">
        <w:tab/>
      </w:r>
      <w:r w:rsidR="000A4679" w:rsidRPr="00E40463">
        <w:rPr>
          <w:u w:val="single"/>
        </w:rPr>
        <w:t>Disclaimer</w:t>
      </w:r>
      <w:r w:rsidR="000A4679">
        <w:t xml:space="preserve">. </w:t>
      </w:r>
      <w:r w:rsidR="00E40463">
        <w:t xml:space="preserve"> </w:t>
      </w:r>
      <w:r w:rsidR="000A4679">
        <w:t xml:space="preserve">ALL CONFIDENTIAL INFORMATION IS PROVIDED BY THE DISCLOSING PARTY </w:t>
      </w:r>
      <w:r w:rsidR="00CF060A">
        <w:t>"</w:t>
      </w:r>
      <w:r w:rsidR="000A4679">
        <w:t>AS IS</w:t>
      </w:r>
      <w:r w:rsidR="00CF060A">
        <w:t>"</w:t>
      </w:r>
      <w:r w:rsidR="000A4679">
        <w:t xml:space="preserve"> AND WITHOUT WARRANTY OF ANY KIND, WHETHER EXPRESS, IMPLIED, OR OTHERWISE, INCLUDING BUT NOT LIMITED TO ANY </w:t>
      </w:r>
      <w:r w:rsidR="000A4679">
        <w:lastRenderedPageBreak/>
        <w:t xml:space="preserve">WARRANTIES REGARDING ITS ACCURACY, COMPLETENESS, PERFORMANCE, NON-INFRINGEMENT OF </w:t>
      </w:r>
      <w:proofErr w:type="gramStart"/>
      <w:r w:rsidR="000A4679">
        <w:t>THIRD PARTY</w:t>
      </w:r>
      <w:proofErr w:type="gramEnd"/>
      <w:r w:rsidR="000A4679">
        <w:t xml:space="preserve"> RIGHTS, OR ITS MERCHANT ABILITY OR FITNESS FOR A PARTICULAR PURPOSE.</w:t>
      </w:r>
    </w:p>
    <w:p w14:paraId="514E52E1" w14:textId="77777777" w:rsidR="000A4679" w:rsidRDefault="00F42068" w:rsidP="00E40463">
      <w:pPr>
        <w:spacing w:before="240" w:line="276" w:lineRule="auto"/>
      </w:pPr>
      <w:r>
        <w:t>8</w:t>
      </w:r>
      <w:r w:rsidR="000A4679">
        <w:t>.</w:t>
      </w:r>
      <w:r w:rsidR="000A4679">
        <w:tab/>
      </w:r>
      <w:r w:rsidR="000A4679" w:rsidRPr="00E40463">
        <w:rPr>
          <w:u w:val="single"/>
        </w:rPr>
        <w:t>No License</w:t>
      </w:r>
      <w:r w:rsidR="000A4679">
        <w:t xml:space="preserve">. </w:t>
      </w:r>
      <w:r w:rsidR="00E40463">
        <w:t xml:space="preserve"> </w:t>
      </w:r>
      <w:r w:rsidR="000A4679">
        <w:t xml:space="preserve">All Confidential Information of the </w:t>
      </w:r>
      <w:r w:rsidR="00DD5FF9">
        <w:t>d</w:t>
      </w:r>
      <w:r w:rsidR="000A4679">
        <w:t xml:space="preserve">isclosing </w:t>
      </w:r>
      <w:r w:rsidR="00DD5FF9">
        <w:t>p</w:t>
      </w:r>
      <w:r w:rsidR="000A4679">
        <w:t xml:space="preserve">arty is and shall remain the exclusive property of the </w:t>
      </w:r>
      <w:r w:rsidR="00DD5FF9">
        <w:t>d</w:t>
      </w:r>
      <w:r w:rsidR="000A4679">
        <w:t xml:space="preserve">isclosing </w:t>
      </w:r>
      <w:r w:rsidR="00DD5FF9">
        <w:t>p</w:t>
      </w:r>
      <w:r w:rsidR="000A4679">
        <w:t xml:space="preserve">arty, and the </w:t>
      </w:r>
      <w:r w:rsidR="00672238">
        <w:t>r</w:t>
      </w:r>
      <w:r w:rsidR="000A4679">
        <w:t xml:space="preserve">eceiving </w:t>
      </w:r>
      <w:r w:rsidR="00672238">
        <w:t>p</w:t>
      </w:r>
      <w:r w:rsidR="000A4679">
        <w:t xml:space="preserve">arty acknowledges and agrees that nothing contained in this Agreement grants, or will be construed as granting, any rights, whether oral or written or express or implied or by license or otherwise, to the </w:t>
      </w:r>
      <w:r w:rsidR="00DD5FF9">
        <w:t>r</w:t>
      </w:r>
      <w:r w:rsidR="000A4679">
        <w:t xml:space="preserve">eceiving </w:t>
      </w:r>
      <w:r w:rsidR="00DD5FF9">
        <w:t>p</w:t>
      </w:r>
      <w:r w:rsidR="000A4679">
        <w:t>arty or any other party in or to any Confidential Information, except as expressly specified in this Agreement.</w:t>
      </w:r>
    </w:p>
    <w:p w14:paraId="514E52E2" w14:textId="77777777" w:rsidR="000A4679" w:rsidRDefault="00F42068" w:rsidP="00E40463">
      <w:pPr>
        <w:spacing w:before="240" w:line="276" w:lineRule="auto"/>
      </w:pPr>
      <w:r>
        <w:t>9</w:t>
      </w:r>
      <w:r w:rsidR="000A4679">
        <w:t>.</w:t>
      </w:r>
      <w:r w:rsidR="000A4679">
        <w:tab/>
      </w:r>
      <w:r w:rsidR="000A4679" w:rsidRPr="00E40463">
        <w:rPr>
          <w:u w:val="single"/>
        </w:rPr>
        <w:t>Term</w:t>
      </w:r>
      <w:r w:rsidR="000A4679">
        <w:t>.  This Agreement will take effect on the Effective Date and, will remain in effect for five</w:t>
      </w:r>
      <w:r w:rsidR="00E40463">
        <w:t xml:space="preserve"> </w:t>
      </w:r>
      <w:r w:rsidR="000A4679">
        <w:t xml:space="preserve">(5) years thereafter, unless it is earlier terminated in accordance with the terms of this Agreement. Each party may terminate this Agreement immediately upon provision of written notice thereof </w:t>
      </w:r>
      <w:r w:rsidR="007D32D0">
        <w:t>to the other party.</w:t>
      </w:r>
      <w:r w:rsidR="001228F7">
        <w:t xml:space="preserve">  </w:t>
      </w:r>
      <w:r w:rsidR="00B84D22">
        <w:t>The r</w:t>
      </w:r>
      <w:r w:rsidR="001228F7">
        <w:t>eceiving</w:t>
      </w:r>
      <w:r w:rsidR="007D32D0">
        <w:t xml:space="preserve"> p</w:t>
      </w:r>
      <w:r w:rsidR="000A4679">
        <w:t>arty</w:t>
      </w:r>
      <w:r w:rsidR="00CF060A">
        <w:t>'</w:t>
      </w:r>
      <w:r w:rsidR="000A4679">
        <w:t>s obligations herein shall survive for five (5) years after any expiration or termination of this Agreement.</w:t>
      </w:r>
    </w:p>
    <w:p w14:paraId="514E52E3" w14:textId="77777777" w:rsidR="000A4679" w:rsidRDefault="000A4679" w:rsidP="00E40463">
      <w:pPr>
        <w:spacing w:before="240" w:line="276" w:lineRule="auto"/>
      </w:pPr>
      <w:r>
        <w:t>1</w:t>
      </w:r>
      <w:r w:rsidR="00F42068">
        <w:t>0</w:t>
      </w:r>
      <w:r>
        <w:t>.</w:t>
      </w:r>
      <w:r>
        <w:tab/>
      </w:r>
      <w:r w:rsidRPr="00E40463">
        <w:rPr>
          <w:u w:val="single"/>
        </w:rPr>
        <w:t>Disclosure, Conflict of Interest</w:t>
      </w:r>
      <w:r>
        <w:t xml:space="preserve">. </w:t>
      </w:r>
      <w:r w:rsidR="004E21CE">
        <w:t xml:space="preserve"> </w:t>
      </w:r>
      <w:r>
        <w:t xml:space="preserve">The </w:t>
      </w:r>
      <w:r w:rsidR="00DD5FF9">
        <w:t>r</w:t>
      </w:r>
      <w:r>
        <w:t xml:space="preserve">eceiving </w:t>
      </w:r>
      <w:r w:rsidR="00DD5FF9">
        <w:t>p</w:t>
      </w:r>
      <w:r>
        <w:t xml:space="preserve">arty is required to notify the </w:t>
      </w:r>
      <w:r w:rsidR="00DD5FF9">
        <w:t>d</w:t>
      </w:r>
      <w:r>
        <w:t xml:space="preserve">isclosing </w:t>
      </w:r>
      <w:r w:rsidR="00DD5FF9">
        <w:t>p</w:t>
      </w:r>
      <w:r>
        <w:t xml:space="preserve">arty if it has any outside activities or interests, including ownership or participation in business activities that conflict or may conflict with the best interests of the </w:t>
      </w:r>
      <w:r w:rsidR="00DD5FF9">
        <w:t>d</w:t>
      </w:r>
      <w:r>
        <w:t xml:space="preserve">isclosing </w:t>
      </w:r>
      <w:r w:rsidR="00DD5FF9">
        <w:t>p</w:t>
      </w:r>
      <w:r>
        <w:t>arty. Prompt disclosure is required under this section if the activity or interest is related, directly or indirectly, to: (</w:t>
      </w:r>
      <w:proofErr w:type="spellStart"/>
      <w:r>
        <w:t>i</w:t>
      </w:r>
      <w:proofErr w:type="spellEnd"/>
      <w:r>
        <w:t>) the</w:t>
      </w:r>
      <w:r w:rsidR="00DD5FF9">
        <w:t xml:space="preserve"> Purpose</w:t>
      </w:r>
      <w:r>
        <w:t xml:space="preserve">; (ii) </w:t>
      </w:r>
      <w:r w:rsidRPr="0055323E">
        <w:t xml:space="preserve">any product or product line of the </w:t>
      </w:r>
      <w:r w:rsidR="00DD5FF9">
        <w:t>d</w:t>
      </w:r>
      <w:r w:rsidRPr="0055323E">
        <w:t xml:space="preserve">isclosing </w:t>
      </w:r>
      <w:r w:rsidR="00DD5FF9">
        <w:t>p</w:t>
      </w:r>
      <w:r w:rsidRPr="0055323E">
        <w:t xml:space="preserve">arty; (iii) any activity that the </w:t>
      </w:r>
      <w:r w:rsidR="00DD5FF9">
        <w:t>r</w:t>
      </w:r>
      <w:r w:rsidRPr="0055323E">
        <w:t xml:space="preserve">eceiving </w:t>
      </w:r>
      <w:r w:rsidR="00DD5FF9">
        <w:t>p</w:t>
      </w:r>
      <w:r w:rsidRPr="0055323E">
        <w:t>arty may be involved with on behalf</w:t>
      </w:r>
      <w:r w:rsidR="006B30BA" w:rsidRPr="0055323E">
        <w:t xml:space="preserve"> </w:t>
      </w:r>
      <w:r w:rsidRPr="0055323E">
        <w:t>of</w:t>
      </w:r>
      <w:r w:rsidR="006B30BA" w:rsidRPr="0055323E">
        <w:t xml:space="preserve"> </w:t>
      </w:r>
      <w:r w:rsidRPr="0055323E">
        <w:t xml:space="preserve">the </w:t>
      </w:r>
      <w:r w:rsidR="00DD5FF9">
        <w:t>d</w:t>
      </w:r>
      <w:r w:rsidRPr="0055323E">
        <w:t xml:space="preserve">isclosing </w:t>
      </w:r>
      <w:r w:rsidR="00DD5FF9">
        <w:t>p</w:t>
      </w:r>
      <w:r w:rsidRPr="0055323E">
        <w:t xml:space="preserve">arty; or (iv) any development project of the </w:t>
      </w:r>
      <w:r w:rsidR="00DD5FF9">
        <w:t>d</w:t>
      </w:r>
      <w:r w:rsidRPr="0055323E">
        <w:t xml:space="preserve">isclosing </w:t>
      </w:r>
      <w:r w:rsidR="00DD5FF9">
        <w:t>p</w:t>
      </w:r>
      <w:r w:rsidRPr="0055323E">
        <w:t>arty</w:t>
      </w:r>
      <w:r>
        <w:t>.</w:t>
      </w:r>
      <w:r w:rsidR="00D67E1E">
        <w:t xml:space="preserve">  </w:t>
      </w:r>
    </w:p>
    <w:p w14:paraId="514E52E4" w14:textId="77777777" w:rsidR="000A4679" w:rsidRDefault="000A4679" w:rsidP="00E40463">
      <w:pPr>
        <w:spacing w:before="240" w:line="276" w:lineRule="auto"/>
      </w:pPr>
      <w:r>
        <w:t>1</w:t>
      </w:r>
      <w:r w:rsidR="00F42068">
        <w:t>1</w:t>
      </w:r>
      <w:r>
        <w:t>.</w:t>
      </w:r>
      <w:r>
        <w:tab/>
      </w:r>
      <w:r w:rsidRPr="00E40463">
        <w:rPr>
          <w:u w:val="single"/>
        </w:rPr>
        <w:t>Publicity</w:t>
      </w:r>
      <w:r>
        <w:t xml:space="preserve">. </w:t>
      </w:r>
      <w:r w:rsidR="00E40463">
        <w:t xml:space="preserve"> </w:t>
      </w:r>
      <w:r>
        <w:t>Neither party shall directly or indirectly cause or permit (a) the oral or written release of any public statement referring to the existence or terms of this Agreement or any discussions with the other party concerning the</w:t>
      </w:r>
      <w:r w:rsidR="00516080">
        <w:t xml:space="preserve"> Purpose</w:t>
      </w:r>
      <w:r>
        <w:t>, or (b) any use of the other party</w:t>
      </w:r>
      <w:r w:rsidR="00CF060A">
        <w:t>'</w:t>
      </w:r>
      <w:r>
        <w:t>s name, trade name, logo or trademarks, without the other party</w:t>
      </w:r>
      <w:r w:rsidR="00CF060A">
        <w:t>'</w:t>
      </w:r>
      <w:r>
        <w:t>s prior written consent.</w:t>
      </w:r>
    </w:p>
    <w:p w14:paraId="514E52E5" w14:textId="77777777" w:rsidR="00F42068" w:rsidRPr="00F42068" w:rsidRDefault="00F42068" w:rsidP="00F42068">
      <w:pPr>
        <w:spacing w:before="240" w:after="240" w:line="276" w:lineRule="auto"/>
      </w:pPr>
      <w:r w:rsidRPr="00F42068">
        <w:t>12.</w:t>
      </w:r>
      <w:r w:rsidRPr="00F42068">
        <w:tab/>
      </w:r>
      <w:r w:rsidRPr="00F42068">
        <w:rPr>
          <w:u w:val="single"/>
        </w:rPr>
        <w:t>Governing law</w:t>
      </w:r>
      <w:r w:rsidRPr="00F42068">
        <w:t>.  This Agreement will be governed by the laws of the Province of British Columbia, Canada, without resort to the choice of law principles thereof. Claims or other causes of action arising out of this Agreement shall be litigated in the appropriate courts of the Province of British Columbia, Canada, and the parties hereby consent to the personal jurisdiction of such court.</w:t>
      </w:r>
    </w:p>
    <w:p w14:paraId="514E52E6" w14:textId="77777777" w:rsidR="00495317" w:rsidRPr="00E14E1B" w:rsidRDefault="00495317" w:rsidP="00495317">
      <w:pPr>
        <w:pStyle w:val="StandardL1"/>
        <w:numPr>
          <w:ilvl w:val="0"/>
          <w:numId w:val="0"/>
        </w:numPr>
        <w:ind w:left="720"/>
        <w:rPr>
          <w:sz w:val="24"/>
          <w:szCs w:val="24"/>
        </w:rPr>
      </w:pPr>
      <w:r w:rsidRPr="00E14E1B">
        <w:rPr>
          <w:sz w:val="24"/>
          <w:szCs w:val="24"/>
        </w:rPr>
        <w:t>13.</w:t>
      </w:r>
      <w:r w:rsidRPr="00E14E1B">
        <w:rPr>
          <w:sz w:val="24"/>
          <w:szCs w:val="24"/>
        </w:rPr>
        <w:tab/>
      </w:r>
      <w:r w:rsidRPr="00E14E1B">
        <w:rPr>
          <w:sz w:val="24"/>
          <w:szCs w:val="24"/>
          <w:u w:val="single"/>
        </w:rPr>
        <w:t>Disputes</w:t>
      </w:r>
      <w:r w:rsidRPr="00E14E1B">
        <w:rPr>
          <w:sz w:val="24"/>
          <w:szCs w:val="24"/>
        </w:rPr>
        <w:t xml:space="preserve">.  </w:t>
      </w:r>
    </w:p>
    <w:p w14:paraId="514E52E7" w14:textId="77777777" w:rsidR="00495317" w:rsidRPr="00E14E1B" w:rsidRDefault="00495317" w:rsidP="00495317">
      <w:pPr>
        <w:pStyle w:val="StandardL1"/>
        <w:numPr>
          <w:ilvl w:val="0"/>
          <w:numId w:val="0"/>
        </w:numPr>
        <w:ind w:firstLine="720"/>
        <w:rPr>
          <w:sz w:val="24"/>
          <w:szCs w:val="24"/>
        </w:rPr>
      </w:pPr>
      <w:r w:rsidRPr="00E14E1B">
        <w:rPr>
          <w:sz w:val="24"/>
          <w:szCs w:val="24"/>
        </w:rPr>
        <w:t xml:space="preserve">(a) </w:t>
      </w:r>
      <w:r w:rsidRPr="00E14E1B">
        <w:rPr>
          <w:sz w:val="24"/>
          <w:szCs w:val="24"/>
        </w:rPr>
        <w:tab/>
        <w:t>If a dispute arises in connection with this Agreement, the responsible representatives of</w:t>
      </w:r>
      <w:r w:rsidR="00CE20A5" w:rsidRPr="00E14E1B">
        <w:rPr>
          <w:sz w:val="24"/>
          <w:szCs w:val="24"/>
        </w:rPr>
        <w:t xml:space="preserve"> each</w:t>
      </w:r>
      <w:r w:rsidRPr="00E14E1B">
        <w:rPr>
          <w:sz w:val="24"/>
          <w:szCs w:val="24"/>
        </w:rPr>
        <w:t xml:space="preserve"> </w:t>
      </w:r>
      <w:r w:rsidR="00CE20A5" w:rsidRPr="00E14E1B">
        <w:rPr>
          <w:sz w:val="24"/>
          <w:szCs w:val="24"/>
        </w:rPr>
        <w:t xml:space="preserve">party </w:t>
      </w:r>
      <w:r w:rsidRPr="00E14E1B">
        <w:rPr>
          <w:sz w:val="24"/>
          <w:szCs w:val="24"/>
        </w:rPr>
        <w:t xml:space="preserve">shall attempt, in fair dealing and good faith, to settle such dispute. Upon request of a party a senior management representative of each party shall participate in the negotiations. Each party shall be entitled to terminate these negotiations by written notification to the other party at any time. </w:t>
      </w:r>
    </w:p>
    <w:p w14:paraId="514E52E8" w14:textId="77777777" w:rsidR="00495317" w:rsidRPr="00E14E1B" w:rsidRDefault="00495317" w:rsidP="00495317">
      <w:pPr>
        <w:pStyle w:val="StandardL2"/>
        <w:numPr>
          <w:ilvl w:val="0"/>
          <w:numId w:val="0"/>
        </w:numPr>
        <w:ind w:firstLine="720"/>
        <w:rPr>
          <w:sz w:val="24"/>
          <w:szCs w:val="24"/>
        </w:rPr>
      </w:pPr>
      <w:r w:rsidRPr="00E14E1B">
        <w:rPr>
          <w:sz w:val="24"/>
          <w:szCs w:val="24"/>
        </w:rPr>
        <w:lastRenderedPageBreak/>
        <w:t xml:space="preserve">(b) </w:t>
      </w:r>
      <w:r w:rsidRPr="00E14E1B">
        <w:rPr>
          <w:sz w:val="24"/>
          <w:szCs w:val="24"/>
        </w:rPr>
        <w:tab/>
        <w:t>The parties shall attempt to agree on a procedure for Alternative Dispute Resolution (ADR) and the applicable procedural rules (including time limits) within fourteen (14) days after a written notice of termination under Section 9 has been received by the other side. If the parties fail to agree on such procedu</w:t>
      </w:r>
      <w:r w:rsidR="00CE20A5" w:rsidRPr="00E14E1B">
        <w:rPr>
          <w:sz w:val="24"/>
          <w:szCs w:val="24"/>
        </w:rPr>
        <w:t>re within this time limit each p</w:t>
      </w:r>
      <w:r w:rsidRPr="00E14E1B">
        <w:rPr>
          <w:sz w:val="24"/>
          <w:szCs w:val="24"/>
        </w:rPr>
        <w:t xml:space="preserve">arty shall be entitled to refer the dispute to Court pursuant to Section 13(c).  </w:t>
      </w:r>
    </w:p>
    <w:p w14:paraId="514E52E9" w14:textId="77777777" w:rsidR="00495317" w:rsidRPr="00E14E1B" w:rsidRDefault="00495317" w:rsidP="00495317">
      <w:pPr>
        <w:pStyle w:val="StandardL2"/>
        <w:numPr>
          <w:ilvl w:val="0"/>
          <w:numId w:val="0"/>
        </w:numPr>
        <w:ind w:firstLine="720"/>
        <w:rPr>
          <w:sz w:val="24"/>
          <w:szCs w:val="24"/>
        </w:rPr>
      </w:pPr>
      <w:r w:rsidRPr="00E14E1B">
        <w:rPr>
          <w:sz w:val="24"/>
          <w:szCs w:val="24"/>
        </w:rPr>
        <w:t xml:space="preserve">(c) </w:t>
      </w:r>
      <w:r w:rsidRPr="00E14E1B">
        <w:rPr>
          <w:sz w:val="24"/>
          <w:szCs w:val="24"/>
        </w:rPr>
        <w:tab/>
        <w:t xml:space="preserve">All disputes arising in connection with this Agreement which are not resolved pursuant to Sections 13(a) or 13(b), including any question regarding the termination or any subsequent amendment of the Agreement, shall be subject to the exclusive jurisdiction of, and finally settled in: </w:t>
      </w:r>
    </w:p>
    <w:p w14:paraId="514E52EA" w14:textId="77777777" w:rsidR="00495317" w:rsidRPr="00E14E1B" w:rsidRDefault="00495317" w:rsidP="00495317">
      <w:pPr>
        <w:pStyle w:val="StandardL2"/>
        <w:numPr>
          <w:ilvl w:val="0"/>
          <w:numId w:val="0"/>
        </w:numPr>
        <w:ind w:left="1440"/>
        <w:rPr>
          <w:b/>
          <w:sz w:val="24"/>
          <w:szCs w:val="24"/>
          <w:highlight w:val="yellow"/>
        </w:rPr>
      </w:pPr>
      <w:r w:rsidRPr="00E14E1B">
        <w:rPr>
          <w:b/>
          <w:sz w:val="24"/>
          <w:szCs w:val="24"/>
          <w:highlight w:val="yellow"/>
        </w:rPr>
        <w:t xml:space="preserve">[include one of the following]  </w:t>
      </w:r>
    </w:p>
    <w:p w14:paraId="514E52EB" w14:textId="77777777" w:rsidR="00495317" w:rsidRPr="00E14E1B" w:rsidRDefault="00495317" w:rsidP="00495317">
      <w:pPr>
        <w:pStyle w:val="StandardL3"/>
        <w:rPr>
          <w:sz w:val="24"/>
          <w:szCs w:val="24"/>
          <w:highlight w:val="yellow"/>
        </w:rPr>
      </w:pPr>
      <w:r w:rsidRPr="00E14E1B">
        <w:rPr>
          <w:sz w:val="24"/>
          <w:szCs w:val="24"/>
          <w:highlight w:val="yellow"/>
        </w:rPr>
        <w:t xml:space="preserve">the Courts of the Province of British Columbia, Canada.  </w:t>
      </w:r>
    </w:p>
    <w:p w14:paraId="514E52EC" w14:textId="77777777" w:rsidR="00495317" w:rsidRPr="00E14E1B" w:rsidRDefault="00495317" w:rsidP="00495317">
      <w:pPr>
        <w:pStyle w:val="StandardL3"/>
        <w:rPr>
          <w:sz w:val="24"/>
          <w:szCs w:val="24"/>
          <w:highlight w:val="yellow"/>
        </w:rPr>
      </w:pPr>
      <w:r w:rsidRPr="00E14E1B">
        <w:rPr>
          <w:sz w:val="24"/>
          <w:szCs w:val="24"/>
          <w:highlight w:val="yellow"/>
        </w:rPr>
        <w:t xml:space="preserve">the state or federal courts having jurisdiction over King County, Washington. </w:t>
      </w:r>
    </w:p>
    <w:p w14:paraId="514E52ED" w14:textId="77777777" w:rsidR="00495317" w:rsidRPr="00E14E1B" w:rsidRDefault="00495317" w:rsidP="00495317">
      <w:pPr>
        <w:pStyle w:val="StandardL3"/>
        <w:rPr>
          <w:sz w:val="24"/>
          <w:szCs w:val="24"/>
          <w:highlight w:val="yellow"/>
        </w:rPr>
      </w:pPr>
      <w:r w:rsidRPr="00E14E1B">
        <w:rPr>
          <w:sz w:val="24"/>
          <w:szCs w:val="24"/>
          <w:highlight w:val="yellow"/>
        </w:rPr>
        <w:t xml:space="preserve">the state or federal courts having jurisdiction over Santa Clara County, California.    </w:t>
      </w:r>
    </w:p>
    <w:p w14:paraId="514E52EE" w14:textId="77777777" w:rsidR="00495317" w:rsidRPr="00E14E1B" w:rsidRDefault="00495317" w:rsidP="00495317">
      <w:pPr>
        <w:pStyle w:val="StandardL3"/>
        <w:rPr>
          <w:sz w:val="24"/>
          <w:szCs w:val="24"/>
          <w:highlight w:val="yellow"/>
        </w:rPr>
      </w:pPr>
      <w:r w:rsidRPr="00E14E1B">
        <w:rPr>
          <w:sz w:val="24"/>
          <w:szCs w:val="24"/>
          <w:highlight w:val="yellow"/>
        </w:rPr>
        <w:t xml:space="preserve">the courts of Singapore.    </w:t>
      </w:r>
    </w:p>
    <w:p w14:paraId="514E52EF" w14:textId="77777777" w:rsidR="00495317" w:rsidRPr="00E14E1B" w:rsidRDefault="00495317" w:rsidP="00495317">
      <w:pPr>
        <w:pStyle w:val="StandardL3"/>
        <w:rPr>
          <w:sz w:val="24"/>
          <w:szCs w:val="24"/>
          <w:highlight w:val="yellow"/>
        </w:rPr>
      </w:pPr>
      <w:r w:rsidRPr="00E14E1B">
        <w:rPr>
          <w:sz w:val="24"/>
          <w:szCs w:val="24"/>
          <w:highlight w:val="yellow"/>
        </w:rPr>
        <w:t xml:space="preserve">the courts of Hong Kong.  </w:t>
      </w:r>
    </w:p>
    <w:p w14:paraId="514E52F0" w14:textId="77777777" w:rsidR="00495317" w:rsidRPr="00E14E1B" w:rsidRDefault="00495317" w:rsidP="00495317">
      <w:pPr>
        <w:pStyle w:val="StandardL3"/>
        <w:rPr>
          <w:sz w:val="24"/>
          <w:szCs w:val="24"/>
          <w:highlight w:val="yellow"/>
        </w:rPr>
      </w:pPr>
      <w:r w:rsidRPr="00E14E1B">
        <w:rPr>
          <w:sz w:val="24"/>
          <w:szCs w:val="24"/>
          <w:highlight w:val="yellow"/>
        </w:rPr>
        <w:t xml:space="preserve">the courts of Germany.  </w:t>
      </w:r>
    </w:p>
    <w:p w14:paraId="514E52F1" w14:textId="77777777" w:rsidR="00495317" w:rsidRPr="00E14E1B" w:rsidRDefault="00495317" w:rsidP="00495317">
      <w:pPr>
        <w:pStyle w:val="StandardL3"/>
        <w:rPr>
          <w:sz w:val="24"/>
          <w:szCs w:val="24"/>
          <w:highlight w:val="yellow"/>
        </w:rPr>
      </w:pPr>
      <w:r w:rsidRPr="00E14E1B">
        <w:rPr>
          <w:sz w:val="24"/>
          <w:szCs w:val="24"/>
          <w:highlight w:val="yellow"/>
        </w:rPr>
        <w:t xml:space="preserve">the courts of London, England.   </w:t>
      </w:r>
    </w:p>
    <w:p w14:paraId="514E52F2" w14:textId="77777777" w:rsidR="00495317" w:rsidRPr="00E14E1B" w:rsidRDefault="00CE20A5" w:rsidP="00495317">
      <w:pPr>
        <w:spacing w:before="240" w:after="240" w:line="276" w:lineRule="auto"/>
      </w:pPr>
      <w:r w:rsidRPr="00E14E1B">
        <w:rPr>
          <w:szCs w:val="24"/>
        </w:rPr>
        <w:t>Each p</w:t>
      </w:r>
      <w:r w:rsidR="00495317" w:rsidRPr="00E14E1B">
        <w:rPr>
          <w:szCs w:val="24"/>
        </w:rPr>
        <w:t>arty hereby irrevocably submits to the exclusive jurisdiction of such courts, and agrees that all claims in respect of this Agreement may be heard and determined in any such courts.</w:t>
      </w:r>
    </w:p>
    <w:p w14:paraId="514E52F3" w14:textId="77777777" w:rsidR="00F42068" w:rsidRPr="00F42068" w:rsidRDefault="00F42068" w:rsidP="00F42068">
      <w:pPr>
        <w:spacing w:before="240" w:after="240" w:line="276" w:lineRule="auto"/>
      </w:pPr>
      <w:r w:rsidRPr="00F42068">
        <w:t>1</w:t>
      </w:r>
      <w:r w:rsidR="00AB59C2">
        <w:t>4</w:t>
      </w:r>
      <w:r w:rsidRPr="00F42068">
        <w:t>.</w:t>
      </w:r>
      <w:r w:rsidRPr="00F42068">
        <w:tab/>
      </w:r>
      <w:r w:rsidRPr="00F42068">
        <w:rPr>
          <w:u w:val="single"/>
        </w:rPr>
        <w:t>General</w:t>
      </w:r>
      <w:r w:rsidRPr="00F42068">
        <w:t xml:space="preserve">.  This Agreement will be binding upon, and will inure to the benefit of the parties and their respective successors and permitted assigns, and may be amended only by a written instrument signed by both parties. </w:t>
      </w:r>
    </w:p>
    <w:p w14:paraId="514E52F4" w14:textId="77777777" w:rsidR="00F42068" w:rsidRPr="00F42068" w:rsidRDefault="00F42068" w:rsidP="00F42068">
      <w:pPr>
        <w:spacing w:before="240" w:after="240" w:line="276" w:lineRule="auto"/>
      </w:pPr>
      <w:r w:rsidRPr="00F42068">
        <w:t xml:space="preserve">No provision of this Agreement may be waived except by a writing executed by the party against whom the waiver is to be effective. </w:t>
      </w:r>
    </w:p>
    <w:p w14:paraId="514E52F5" w14:textId="77777777" w:rsidR="00F42068" w:rsidRPr="00F42068" w:rsidRDefault="00F42068" w:rsidP="00F42068">
      <w:pPr>
        <w:spacing w:before="240" w:after="240" w:line="276" w:lineRule="auto"/>
      </w:pPr>
      <w:r w:rsidRPr="00F42068">
        <w:t xml:space="preserve">A party's failure to enforce any provision of this Agreement shall neither be construed as a waiver of the provision nor prevent the party from enforcing any other provision of this Agreement. </w:t>
      </w:r>
    </w:p>
    <w:p w14:paraId="514E52F6" w14:textId="77777777" w:rsidR="00F42068" w:rsidRPr="00F42068" w:rsidRDefault="00F42068" w:rsidP="00F42068">
      <w:pPr>
        <w:spacing w:before="240" w:after="240" w:line="276" w:lineRule="auto"/>
      </w:pPr>
      <w:r w:rsidRPr="00F42068">
        <w:t xml:space="preserve">This Agreement is the complete and exclusive statement regarding the subject matter hereof and supersedes all prior and contemporaneous agreements, understandings and communications, oral or written, between the parties regarding such subject matter. </w:t>
      </w:r>
    </w:p>
    <w:p w14:paraId="514E52F7" w14:textId="77777777" w:rsidR="00F42068" w:rsidRPr="00F42068" w:rsidRDefault="00B84D22" w:rsidP="00F42068">
      <w:pPr>
        <w:spacing w:before="240" w:after="240" w:line="276" w:lineRule="auto"/>
      </w:pPr>
      <w:r>
        <w:lastRenderedPageBreak/>
        <w:t>The r</w:t>
      </w:r>
      <w:r w:rsidR="00F42068" w:rsidRPr="00F42068">
        <w:t xml:space="preserve">eceiving party may not assign any of its rights or delegate any of its duties or obligations under this Agreement without the prior written consent of the disclosing party. </w:t>
      </w:r>
    </w:p>
    <w:p w14:paraId="514E52F8" w14:textId="77777777" w:rsidR="00F42068" w:rsidRPr="00F42068" w:rsidRDefault="00F42068" w:rsidP="00F42068">
      <w:pPr>
        <w:spacing w:before="240" w:after="240" w:line="276" w:lineRule="auto"/>
      </w:pPr>
      <w:r w:rsidRPr="00F42068">
        <w:t xml:space="preserve">If any provision of this Agreement is held to be illegal, invalid or unenforceable, in whole or in part, that provision will be modified to the minimum extent necessary to make it legal, valid and enforceable, and the legality, validity and enforceability of the remaining provisions will not be affected thereby. </w:t>
      </w:r>
    </w:p>
    <w:p w14:paraId="514E52F9" w14:textId="77777777" w:rsidR="007249B3" w:rsidRDefault="00F42068" w:rsidP="00F42068">
      <w:pPr>
        <w:spacing w:before="240" w:after="240" w:line="276" w:lineRule="auto"/>
      </w:pPr>
      <w:r w:rsidRPr="00F42068">
        <w:t>This Agreement may be executed in two or more counterparts, including electronic counterparts, each of which shall be deemed an original and all of which together shall constitute one instrument. Signatures to this Agreement transmitted by facsimile, by electronic mail in "portable document format" (".pdf"), or by any other electronic means which preserves the original graphic and pictorial appearance of the Agreement, shall have the same effect as physical delivery of the paper document bearing the original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262"/>
        <w:gridCol w:w="4613"/>
      </w:tblGrid>
      <w:tr w:rsidR="000E1CDB" w14:paraId="514E52FD" w14:textId="77777777" w:rsidTr="000E1CDB">
        <w:tc>
          <w:tcPr>
            <w:tcW w:w="4608" w:type="dxa"/>
          </w:tcPr>
          <w:p w14:paraId="514E52FA" w14:textId="77777777" w:rsidR="000E1CDB" w:rsidRPr="000E1CDB" w:rsidRDefault="00B16119">
            <w:pPr>
              <w:ind w:firstLine="0"/>
              <w:rPr>
                <w:b/>
              </w:rPr>
            </w:pPr>
            <w:r>
              <w:t>Ionomr In</w:t>
            </w:r>
            <w:r w:rsidR="00436101">
              <w:t>novations</w:t>
            </w:r>
            <w:r>
              <w:t xml:space="preserve"> Inc.</w:t>
            </w:r>
          </w:p>
        </w:tc>
        <w:tc>
          <w:tcPr>
            <w:tcW w:w="270" w:type="dxa"/>
          </w:tcPr>
          <w:p w14:paraId="514E52FB" w14:textId="77777777" w:rsidR="000E1CDB" w:rsidRPr="000E1CDB" w:rsidRDefault="000E1CDB">
            <w:pPr>
              <w:ind w:firstLine="0"/>
              <w:rPr>
                <w:b/>
              </w:rPr>
            </w:pPr>
          </w:p>
        </w:tc>
        <w:tc>
          <w:tcPr>
            <w:tcW w:w="4698" w:type="dxa"/>
          </w:tcPr>
          <w:p w14:paraId="514E52FC" w14:textId="77777777" w:rsidR="000E1CDB" w:rsidRPr="000E1CDB" w:rsidRDefault="00B16119">
            <w:pPr>
              <w:ind w:firstLine="0"/>
              <w:rPr>
                <w:b/>
              </w:rPr>
            </w:pPr>
            <w:r w:rsidRPr="00083685">
              <w:rPr>
                <w:highlight w:val="yellow"/>
              </w:rPr>
              <w:t>[Company 1]</w:t>
            </w:r>
          </w:p>
        </w:tc>
      </w:tr>
      <w:tr w:rsidR="000E1CDB" w14:paraId="514E5302" w14:textId="77777777" w:rsidTr="000E1CDB">
        <w:tc>
          <w:tcPr>
            <w:tcW w:w="4608" w:type="dxa"/>
          </w:tcPr>
          <w:p w14:paraId="514E52FE" w14:textId="77777777" w:rsidR="000E1CDB" w:rsidRDefault="000E1CDB">
            <w:pPr>
              <w:ind w:firstLine="0"/>
              <w:rPr>
                <w:noProof/>
                <w:lang w:eastAsia="zh-CN"/>
              </w:rPr>
            </w:pPr>
          </w:p>
          <w:p w14:paraId="514E52FF" w14:textId="77777777" w:rsidR="00B16119" w:rsidRDefault="00B16119">
            <w:pPr>
              <w:ind w:firstLine="0"/>
            </w:pPr>
          </w:p>
        </w:tc>
        <w:tc>
          <w:tcPr>
            <w:tcW w:w="270" w:type="dxa"/>
          </w:tcPr>
          <w:p w14:paraId="514E5300" w14:textId="77777777" w:rsidR="000E1CDB" w:rsidRDefault="000E1CDB">
            <w:pPr>
              <w:ind w:firstLine="0"/>
            </w:pPr>
          </w:p>
        </w:tc>
        <w:tc>
          <w:tcPr>
            <w:tcW w:w="4698" w:type="dxa"/>
          </w:tcPr>
          <w:p w14:paraId="514E5301" w14:textId="77777777" w:rsidR="000E1CDB" w:rsidRDefault="000E1CDB">
            <w:pPr>
              <w:ind w:firstLine="0"/>
            </w:pPr>
          </w:p>
        </w:tc>
      </w:tr>
      <w:tr w:rsidR="000E1CDB" w14:paraId="514E5306" w14:textId="77777777" w:rsidTr="000E1CDB">
        <w:tc>
          <w:tcPr>
            <w:tcW w:w="4608" w:type="dxa"/>
          </w:tcPr>
          <w:p w14:paraId="514E5303" w14:textId="1A953FBD" w:rsidR="000E1CDB" w:rsidRDefault="000E1CDB" w:rsidP="006B3A6C">
            <w:pPr>
              <w:spacing w:line="240" w:lineRule="auto"/>
              <w:ind w:firstLine="0"/>
              <w:jc w:val="left"/>
            </w:pPr>
            <w:r>
              <w:t>By:</w:t>
            </w:r>
            <w:r w:rsidR="00B16119">
              <w:t xml:space="preserve"> </w:t>
            </w:r>
            <w:r w:rsidR="006B3A6C">
              <w:t xml:space="preserve">G. William </w:t>
            </w:r>
            <w:proofErr w:type="spellStart"/>
            <w:r w:rsidR="006B3A6C">
              <w:t>Haberlin</w:t>
            </w:r>
            <w:proofErr w:type="spellEnd"/>
          </w:p>
        </w:tc>
        <w:tc>
          <w:tcPr>
            <w:tcW w:w="270" w:type="dxa"/>
          </w:tcPr>
          <w:p w14:paraId="514E5304" w14:textId="77777777" w:rsidR="000E1CDB" w:rsidRDefault="000E1CDB">
            <w:pPr>
              <w:ind w:firstLine="0"/>
            </w:pPr>
          </w:p>
        </w:tc>
        <w:tc>
          <w:tcPr>
            <w:tcW w:w="4698" w:type="dxa"/>
          </w:tcPr>
          <w:p w14:paraId="514E5305" w14:textId="77777777" w:rsidR="000E1CDB" w:rsidRDefault="000E1CDB" w:rsidP="000E1CDB">
            <w:pPr>
              <w:tabs>
                <w:tab w:val="right" w:pos="4392"/>
              </w:tabs>
              <w:ind w:firstLine="0"/>
            </w:pPr>
            <w:r>
              <w:t xml:space="preserve">By: </w:t>
            </w:r>
            <w:r w:rsidRPr="000E1CDB">
              <w:rPr>
                <w:u w:val="single"/>
              </w:rPr>
              <w:tab/>
            </w:r>
          </w:p>
        </w:tc>
      </w:tr>
      <w:tr w:rsidR="000E1CDB" w14:paraId="514E530A" w14:textId="77777777" w:rsidTr="000E1CDB">
        <w:tc>
          <w:tcPr>
            <w:tcW w:w="4608" w:type="dxa"/>
          </w:tcPr>
          <w:p w14:paraId="514E5307" w14:textId="40E429DE" w:rsidR="000E1CDB" w:rsidRDefault="000E1CDB" w:rsidP="00B16119">
            <w:pPr>
              <w:tabs>
                <w:tab w:val="right" w:pos="4320"/>
              </w:tabs>
              <w:ind w:firstLine="0"/>
            </w:pPr>
            <w:r>
              <w:t>Title</w:t>
            </w:r>
            <w:r w:rsidR="006B3A6C">
              <w:t>: CEO</w:t>
            </w:r>
          </w:p>
        </w:tc>
        <w:tc>
          <w:tcPr>
            <w:tcW w:w="270" w:type="dxa"/>
          </w:tcPr>
          <w:p w14:paraId="514E5308" w14:textId="77777777" w:rsidR="000E1CDB" w:rsidRDefault="000E1CDB">
            <w:pPr>
              <w:ind w:firstLine="0"/>
            </w:pPr>
          </w:p>
        </w:tc>
        <w:tc>
          <w:tcPr>
            <w:tcW w:w="4698" w:type="dxa"/>
          </w:tcPr>
          <w:p w14:paraId="514E5309" w14:textId="77777777" w:rsidR="000E1CDB" w:rsidRDefault="000E1CDB" w:rsidP="000E1CDB">
            <w:pPr>
              <w:tabs>
                <w:tab w:val="right" w:pos="4392"/>
              </w:tabs>
              <w:ind w:firstLine="0"/>
            </w:pPr>
            <w:r>
              <w:t xml:space="preserve">Title: </w:t>
            </w:r>
            <w:r w:rsidRPr="000E1CDB">
              <w:rPr>
                <w:u w:val="single"/>
              </w:rPr>
              <w:tab/>
            </w:r>
          </w:p>
        </w:tc>
      </w:tr>
      <w:tr w:rsidR="000E1CDB" w14:paraId="514E530E" w14:textId="77777777" w:rsidTr="000E1CDB">
        <w:tc>
          <w:tcPr>
            <w:tcW w:w="4608" w:type="dxa"/>
          </w:tcPr>
          <w:p w14:paraId="514E530B" w14:textId="77777777" w:rsidR="000E1CDB" w:rsidRPr="0055323E" w:rsidRDefault="000E1CDB" w:rsidP="00B16119">
            <w:pPr>
              <w:tabs>
                <w:tab w:val="right" w:pos="4320"/>
              </w:tabs>
              <w:ind w:firstLine="0"/>
            </w:pPr>
            <w:r>
              <w:t xml:space="preserve">Date: </w:t>
            </w:r>
            <w:r w:rsidR="0055323E">
              <w:rPr>
                <w:u w:val="single"/>
              </w:rPr>
              <w:t xml:space="preserve"> </w:t>
            </w:r>
            <w:r w:rsidRPr="000E1CDB">
              <w:rPr>
                <w:u w:val="single"/>
              </w:rPr>
              <w:tab/>
            </w:r>
          </w:p>
        </w:tc>
        <w:tc>
          <w:tcPr>
            <w:tcW w:w="270" w:type="dxa"/>
          </w:tcPr>
          <w:p w14:paraId="514E530C" w14:textId="77777777" w:rsidR="000E1CDB" w:rsidRDefault="000E1CDB">
            <w:pPr>
              <w:ind w:firstLine="0"/>
            </w:pPr>
          </w:p>
        </w:tc>
        <w:tc>
          <w:tcPr>
            <w:tcW w:w="4698" w:type="dxa"/>
          </w:tcPr>
          <w:p w14:paraId="514E530D" w14:textId="77777777" w:rsidR="000E1CDB" w:rsidRDefault="000E1CDB" w:rsidP="000E1CDB">
            <w:pPr>
              <w:tabs>
                <w:tab w:val="right" w:pos="4392"/>
              </w:tabs>
              <w:ind w:firstLine="0"/>
            </w:pPr>
            <w:r>
              <w:t xml:space="preserve">Date: </w:t>
            </w:r>
            <w:r w:rsidRPr="000E1CDB">
              <w:rPr>
                <w:u w:val="single"/>
              </w:rPr>
              <w:tab/>
            </w:r>
          </w:p>
        </w:tc>
      </w:tr>
    </w:tbl>
    <w:p w14:paraId="514E530F" w14:textId="77777777" w:rsidR="007249B3" w:rsidRDefault="007249B3"/>
    <w:p w14:paraId="514E5310" w14:textId="77777777" w:rsidR="002933DF" w:rsidRDefault="002933DF">
      <w:pPr>
        <w:pStyle w:val="initials"/>
      </w:pPr>
    </w:p>
    <w:p w14:paraId="514E5311" w14:textId="77777777" w:rsidR="007249B3" w:rsidRDefault="007249B3">
      <w:pPr>
        <w:pStyle w:val="initials"/>
      </w:pPr>
    </w:p>
    <w:sectPr w:rsidR="007249B3" w:rsidSect="002828C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5314" w14:textId="77777777" w:rsidR="00972D5F" w:rsidRDefault="00972D5F">
      <w:pPr>
        <w:spacing w:line="240" w:lineRule="auto"/>
      </w:pPr>
      <w:r>
        <w:separator/>
      </w:r>
    </w:p>
  </w:endnote>
  <w:endnote w:type="continuationSeparator" w:id="0">
    <w:p w14:paraId="514E5315" w14:textId="77777777" w:rsidR="00972D5F" w:rsidRDefault="00972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318" w14:textId="77777777" w:rsidR="00DF6F3A" w:rsidRDefault="00DF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319" w14:textId="77777777" w:rsidR="00B9771C" w:rsidRPr="00677CD9" w:rsidRDefault="00B9771C" w:rsidP="00677CD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31B" w14:textId="77777777" w:rsidR="00B9771C" w:rsidRPr="00677CD9" w:rsidRDefault="00B9771C" w:rsidP="0067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5312" w14:textId="77777777" w:rsidR="00972D5F" w:rsidRDefault="00972D5F">
      <w:pPr>
        <w:spacing w:line="240" w:lineRule="auto"/>
      </w:pPr>
      <w:r>
        <w:separator/>
      </w:r>
    </w:p>
  </w:footnote>
  <w:footnote w:type="continuationSeparator" w:id="0">
    <w:p w14:paraId="514E5313" w14:textId="77777777" w:rsidR="00972D5F" w:rsidRDefault="00972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316" w14:textId="77777777" w:rsidR="00DF6F3A" w:rsidRDefault="00DF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317" w14:textId="77777777" w:rsidR="00DF6F3A" w:rsidRDefault="00DF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31A" w14:textId="77777777" w:rsidR="00DF6F3A" w:rsidRDefault="00DF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56F0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220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BA22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70D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ACB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84F4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E8AA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5A15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085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EC5F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0A24CC3"/>
    <w:multiLevelType w:val="multilevel"/>
    <w:tmpl w:val="7AA23C8A"/>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D8"/>
    <w:rsid w:val="000524B8"/>
    <w:rsid w:val="00076A39"/>
    <w:rsid w:val="00083685"/>
    <w:rsid w:val="000A4679"/>
    <w:rsid w:val="000C435F"/>
    <w:rsid w:val="000E1CDB"/>
    <w:rsid w:val="001228F7"/>
    <w:rsid w:val="00125093"/>
    <w:rsid w:val="00150551"/>
    <w:rsid w:val="001733F1"/>
    <w:rsid w:val="001763EB"/>
    <w:rsid w:val="00185607"/>
    <w:rsid w:val="00187D04"/>
    <w:rsid w:val="001D083C"/>
    <w:rsid w:val="001D3EF3"/>
    <w:rsid w:val="00200A0C"/>
    <w:rsid w:val="0023667A"/>
    <w:rsid w:val="00241558"/>
    <w:rsid w:val="00265CB0"/>
    <w:rsid w:val="002828CE"/>
    <w:rsid w:val="00286B89"/>
    <w:rsid w:val="002933DF"/>
    <w:rsid w:val="002D1FFB"/>
    <w:rsid w:val="002E00E8"/>
    <w:rsid w:val="002E25C0"/>
    <w:rsid w:val="002E4265"/>
    <w:rsid w:val="00315FEE"/>
    <w:rsid w:val="003434CA"/>
    <w:rsid w:val="00363078"/>
    <w:rsid w:val="00366B37"/>
    <w:rsid w:val="003675EB"/>
    <w:rsid w:val="003A136D"/>
    <w:rsid w:val="003A69AD"/>
    <w:rsid w:val="003D1BD8"/>
    <w:rsid w:val="00424DC8"/>
    <w:rsid w:val="00431296"/>
    <w:rsid w:val="00436101"/>
    <w:rsid w:val="00495317"/>
    <w:rsid w:val="004E21CE"/>
    <w:rsid w:val="00516080"/>
    <w:rsid w:val="0055323E"/>
    <w:rsid w:val="00582605"/>
    <w:rsid w:val="005B0577"/>
    <w:rsid w:val="005E25EE"/>
    <w:rsid w:val="00615BC6"/>
    <w:rsid w:val="00623B3A"/>
    <w:rsid w:val="006677E3"/>
    <w:rsid w:val="00672238"/>
    <w:rsid w:val="00677CD9"/>
    <w:rsid w:val="00686BC6"/>
    <w:rsid w:val="00692C21"/>
    <w:rsid w:val="006B2004"/>
    <w:rsid w:val="006B30BA"/>
    <w:rsid w:val="006B3A6C"/>
    <w:rsid w:val="006B471B"/>
    <w:rsid w:val="006D6FA4"/>
    <w:rsid w:val="006D7998"/>
    <w:rsid w:val="00701783"/>
    <w:rsid w:val="00703961"/>
    <w:rsid w:val="0072265C"/>
    <w:rsid w:val="007249B3"/>
    <w:rsid w:val="00753024"/>
    <w:rsid w:val="00756359"/>
    <w:rsid w:val="007A7913"/>
    <w:rsid w:val="007A7F62"/>
    <w:rsid w:val="007C5914"/>
    <w:rsid w:val="007C75E3"/>
    <w:rsid w:val="007D32D0"/>
    <w:rsid w:val="007F66D8"/>
    <w:rsid w:val="007F6950"/>
    <w:rsid w:val="00814C42"/>
    <w:rsid w:val="00836471"/>
    <w:rsid w:val="00843326"/>
    <w:rsid w:val="0086585B"/>
    <w:rsid w:val="00873678"/>
    <w:rsid w:val="00874EA7"/>
    <w:rsid w:val="00883E56"/>
    <w:rsid w:val="00892A96"/>
    <w:rsid w:val="008D5119"/>
    <w:rsid w:val="008F18B5"/>
    <w:rsid w:val="00923FAE"/>
    <w:rsid w:val="00954E58"/>
    <w:rsid w:val="00965A4E"/>
    <w:rsid w:val="00972D24"/>
    <w:rsid w:val="00972D5F"/>
    <w:rsid w:val="009D23DB"/>
    <w:rsid w:val="009E5E96"/>
    <w:rsid w:val="009E5FAE"/>
    <w:rsid w:val="00A2341A"/>
    <w:rsid w:val="00A52156"/>
    <w:rsid w:val="00A65A1B"/>
    <w:rsid w:val="00AB59C2"/>
    <w:rsid w:val="00AC1A52"/>
    <w:rsid w:val="00AD5D8E"/>
    <w:rsid w:val="00AE0D80"/>
    <w:rsid w:val="00AF6E29"/>
    <w:rsid w:val="00B0481F"/>
    <w:rsid w:val="00B16119"/>
    <w:rsid w:val="00B84D22"/>
    <w:rsid w:val="00B86823"/>
    <w:rsid w:val="00B9771C"/>
    <w:rsid w:val="00C627F0"/>
    <w:rsid w:val="00CC67F8"/>
    <w:rsid w:val="00CE20A5"/>
    <w:rsid w:val="00CF060A"/>
    <w:rsid w:val="00D046DA"/>
    <w:rsid w:val="00D67E1E"/>
    <w:rsid w:val="00D74D57"/>
    <w:rsid w:val="00DA6B84"/>
    <w:rsid w:val="00DC7DC9"/>
    <w:rsid w:val="00DD2DC3"/>
    <w:rsid w:val="00DD5FF9"/>
    <w:rsid w:val="00DF609B"/>
    <w:rsid w:val="00DF6F3A"/>
    <w:rsid w:val="00E01C8F"/>
    <w:rsid w:val="00E034D5"/>
    <w:rsid w:val="00E06827"/>
    <w:rsid w:val="00E14E1B"/>
    <w:rsid w:val="00E40463"/>
    <w:rsid w:val="00E4276C"/>
    <w:rsid w:val="00E7674C"/>
    <w:rsid w:val="00E77C5E"/>
    <w:rsid w:val="00E81781"/>
    <w:rsid w:val="00E90A37"/>
    <w:rsid w:val="00EA275C"/>
    <w:rsid w:val="00EB2576"/>
    <w:rsid w:val="00EE533F"/>
    <w:rsid w:val="00F03136"/>
    <w:rsid w:val="00F15EA7"/>
    <w:rsid w:val="00F31E44"/>
    <w:rsid w:val="00F42068"/>
    <w:rsid w:val="00F43509"/>
    <w:rsid w:val="00F50E3C"/>
    <w:rsid w:val="00F63751"/>
    <w:rsid w:val="00F7665C"/>
    <w:rsid w:val="00F778CD"/>
    <w:rsid w:val="00F86F50"/>
    <w:rsid w:val="00F97CE2"/>
    <w:rsid w:val="00FD4D51"/>
    <w:rsid w:val="00FE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4E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551"/>
    <w:pPr>
      <w:spacing w:line="480" w:lineRule="atLeast"/>
      <w:ind w:firstLine="720"/>
      <w:jc w:val="both"/>
    </w:pPr>
    <w:rPr>
      <w:sz w:val="24"/>
    </w:rPr>
  </w:style>
  <w:style w:type="paragraph" w:styleId="Heading1">
    <w:name w:val="heading 1"/>
    <w:basedOn w:val="Normal"/>
    <w:next w:val="Normal"/>
    <w:qFormat/>
    <w:rsid w:val="00150551"/>
    <w:pPr>
      <w:keepNext/>
      <w:ind w:firstLine="0"/>
      <w:jc w:val="center"/>
      <w:outlineLvl w:val="0"/>
    </w:pPr>
    <w:rPr>
      <w:b/>
      <w:caps/>
    </w:rPr>
  </w:style>
  <w:style w:type="paragraph" w:styleId="Heading2">
    <w:name w:val="heading 2"/>
    <w:basedOn w:val="Normal"/>
    <w:next w:val="Normal"/>
    <w:qFormat/>
    <w:rsid w:val="00150551"/>
    <w:pPr>
      <w:keepNext/>
      <w:ind w:left="720" w:hanging="720"/>
      <w:jc w:val="left"/>
      <w:outlineLvl w:val="1"/>
    </w:pPr>
    <w:rPr>
      <w:b/>
    </w:rPr>
  </w:style>
  <w:style w:type="paragraph" w:styleId="Heading3">
    <w:name w:val="heading 3"/>
    <w:basedOn w:val="Normal"/>
    <w:next w:val="Normal"/>
    <w:qFormat/>
    <w:rsid w:val="00150551"/>
    <w:pPr>
      <w:keepNext/>
      <w:ind w:left="1440" w:hanging="720"/>
      <w:jc w:val="left"/>
      <w:outlineLvl w:val="2"/>
    </w:pPr>
    <w:rPr>
      <w:b/>
    </w:rPr>
  </w:style>
  <w:style w:type="paragraph" w:styleId="Heading4">
    <w:name w:val="heading 4"/>
    <w:basedOn w:val="Normal"/>
    <w:next w:val="Normal"/>
    <w:qFormat/>
    <w:rsid w:val="00150551"/>
    <w:pPr>
      <w:keepNext/>
      <w:ind w:left="2160" w:hanging="720"/>
      <w:jc w:val="left"/>
      <w:outlineLvl w:val="3"/>
    </w:pPr>
    <w:rPr>
      <w:b/>
    </w:rPr>
  </w:style>
  <w:style w:type="paragraph" w:styleId="Heading5">
    <w:name w:val="heading 5"/>
    <w:basedOn w:val="Normal"/>
    <w:next w:val="Normal"/>
    <w:qFormat/>
    <w:rsid w:val="00150551"/>
    <w:pPr>
      <w:keepNext/>
      <w:ind w:left="2880" w:hanging="720"/>
      <w:jc w:val="left"/>
      <w:outlineLvl w:val="4"/>
    </w:pPr>
    <w:rPr>
      <w:b/>
    </w:rPr>
  </w:style>
  <w:style w:type="paragraph" w:styleId="Heading6">
    <w:name w:val="heading 6"/>
    <w:basedOn w:val="Normal"/>
    <w:next w:val="Normal"/>
    <w:qFormat/>
    <w:rsid w:val="00150551"/>
    <w:pPr>
      <w:keepNext/>
      <w:ind w:left="3600" w:hanging="720"/>
      <w:jc w:val="left"/>
      <w:outlineLvl w:val="5"/>
    </w:pPr>
    <w:rPr>
      <w:b/>
    </w:rPr>
  </w:style>
  <w:style w:type="paragraph" w:styleId="Heading7">
    <w:name w:val="heading 7"/>
    <w:basedOn w:val="Heading6"/>
    <w:next w:val="Normal"/>
    <w:qFormat/>
    <w:rsid w:val="00150551"/>
    <w:pPr>
      <w:ind w:left="4320"/>
      <w:outlineLvl w:val="6"/>
    </w:pPr>
    <w:rPr>
      <w:sz w:val="22"/>
    </w:rPr>
  </w:style>
  <w:style w:type="paragraph" w:styleId="Heading8">
    <w:name w:val="heading 8"/>
    <w:basedOn w:val="Normal"/>
    <w:next w:val="Normal"/>
    <w:qFormat/>
    <w:rsid w:val="00150551"/>
    <w:pPr>
      <w:keepNext/>
      <w:ind w:left="4320" w:hanging="720"/>
      <w:jc w:val="left"/>
      <w:outlineLvl w:val="7"/>
    </w:pPr>
    <w:rPr>
      <w:i/>
      <w:sz w:val="22"/>
    </w:rPr>
  </w:style>
  <w:style w:type="paragraph" w:styleId="Heading9">
    <w:name w:val="heading 9"/>
    <w:basedOn w:val="Normal"/>
    <w:next w:val="Normal"/>
    <w:qFormat/>
    <w:rsid w:val="00150551"/>
    <w:pPr>
      <w:keepNext/>
      <w:ind w:left="4320" w:hanging="720"/>
      <w:jc w:val="left"/>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ncl">
    <w:name w:val="ccencl"/>
    <w:basedOn w:val="normalblock"/>
    <w:pPr>
      <w:ind w:left="720" w:hanging="720"/>
    </w:pPr>
  </w:style>
  <w:style w:type="paragraph" w:customStyle="1" w:styleId="normalblock">
    <w:name w:val="normal block"/>
    <w:basedOn w:val="Normal"/>
    <w:pPr>
      <w:spacing w:line="280" w:lineRule="atLeast"/>
      <w:ind w:firstLine="0"/>
      <w:jc w:val="left"/>
    </w:pPr>
  </w:style>
  <w:style w:type="paragraph" w:customStyle="1" w:styleId="righthalf">
    <w:name w:val="right half"/>
    <w:basedOn w:val="normalblock"/>
    <w:qFormat/>
    <w:rsid w:val="00150551"/>
    <w:pPr>
      <w:keepNext/>
      <w:keepLines/>
      <w:tabs>
        <w:tab w:val="right" w:pos="9000"/>
      </w:tabs>
      <w:ind w:left="5040"/>
    </w:pPr>
  </w:style>
  <w:style w:type="paragraph" w:styleId="NormalIndent">
    <w:name w:val="Normal Indent"/>
    <w:basedOn w:val="Normal"/>
    <w:pPr>
      <w:ind w:left="1440" w:right="720" w:firstLine="0"/>
    </w:pPr>
  </w:style>
  <w:style w:type="paragraph" w:styleId="Footer">
    <w:name w:val="footer"/>
    <w:basedOn w:val="Normal"/>
    <w:qFormat/>
    <w:rsid w:val="00150551"/>
    <w:pPr>
      <w:tabs>
        <w:tab w:val="center" w:pos="4320"/>
        <w:tab w:val="right" w:pos="8640"/>
      </w:tabs>
      <w:spacing w:after="120" w:line="240" w:lineRule="auto"/>
      <w:ind w:firstLine="0"/>
      <w:jc w:val="center"/>
    </w:pPr>
  </w:style>
  <w:style w:type="paragraph" w:customStyle="1" w:styleId="initials">
    <w:name w:val="initials"/>
    <w:basedOn w:val="normalblock"/>
    <w:next w:val="ccencl"/>
    <w:rPr>
      <w:sz w:val="12"/>
    </w:rPr>
  </w:style>
  <w:style w:type="paragraph" w:customStyle="1" w:styleId="filename">
    <w:name w:val="filename"/>
    <w:basedOn w:val="Footer"/>
    <w:pPr>
      <w:spacing w:after="0" w:line="140" w:lineRule="atLeast"/>
      <w:jc w:val="left"/>
    </w:pPr>
    <w:rPr>
      <w:noProof/>
      <w:sz w:val="12"/>
    </w:rPr>
  </w:style>
  <w:style w:type="paragraph" w:styleId="Header">
    <w:name w:val="header"/>
    <w:basedOn w:val="normalblock"/>
  </w:style>
  <w:style w:type="character" w:styleId="PageNumber">
    <w:name w:val="page number"/>
    <w:basedOn w:val="DefaultParagraphFont"/>
    <w:rPr>
      <w:rFonts w:ascii="Times New Roman" w:hAnsi="Times New Roman"/>
      <w:sz w:val="24"/>
    </w:rPr>
  </w:style>
  <w:style w:type="paragraph" w:styleId="DocumentMap">
    <w:name w:val="Document Map"/>
    <w:basedOn w:val="Normal"/>
    <w:semiHidden/>
    <w:pPr>
      <w:shd w:val="clear" w:color="auto" w:fill="000080"/>
    </w:pPr>
    <w:rPr>
      <w:rFonts w:ascii="Tahoma" w:hAnsi="Tahoma"/>
    </w:rPr>
  </w:style>
  <w:style w:type="paragraph" w:customStyle="1" w:styleId="mailcert1">
    <w:name w:val="mailcert1"/>
    <w:basedOn w:val="Normal"/>
    <w:next w:val="mailcert2"/>
    <w:pPr>
      <w:keepNext/>
      <w:keepLines/>
      <w:spacing w:before="120" w:line="240" w:lineRule="atLeast"/>
      <w:ind w:firstLine="0"/>
      <w:jc w:val="center"/>
    </w:pPr>
    <w:rPr>
      <w:b/>
      <w:caps/>
      <w:sz w:val="20"/>
    </w:rPr>
  </w:style>
  <w:style w:type="paragraph" w:customStyle="1" w:styleId="mailcert2">
    <w:name w:val="mailcert2"/>
    <w:basedOn w:val="Normal"/>
    <w:pPr>
      <w:keepNext/>
      <w:keepLines/>
      <w:tabs>
        <w:tab w:val="left" w:pos="6480"/>
      </w:tabs>
      <w:spacing w:line="240" w:lineRule="atLeast"/>
      <w:ind w:left="720" w:firstLine="0"/>
    </w:pPr>
    <w:rPr>
      <w:sz w:val="20"/>
    </w:rPr>
  </w:style>
  <w:style w:type="paragraph" w:customStyle="1" w:styleId="mailcert3">
    <w:name w:val="mailcert3"/>
    <w:basedOn w:val="Normal"/>
    <w:pPr>
      <w:keepNext/>
      <w:keepLines/>
      <w:spacing w:line="240" w:lineRule="atLeast"/>
    </w:pPr>
    <w:rPr>
      <w:sz w:val="20"/>
    </w:rPr>
  </w:style>
  <w:style w:type="paragraph" w:customStyle="1" w:styleId="mailcert4">
    <w:name w:val="mailcert4"/>
    <w:basedOn w:val="Normal"/>
    <w:next w:val="mailcert2"/>
    <w:pPr>
      <w:keepNext/>
      <w:keepLines/>
      <w:tabs>
        <w:tab w:val="left" w:pos="6480"/>
      </w:tabs>
      <w:spacing w:line="240" w:lineRule="atLeast"/>
      <w:ind w:left="720" w:firstLine="0"/>
    </w:pPr>
    <w:rPr>
      <w:sz w:val="20"/>
      <w:u w:val="single"/>
    </w:rPr>
  </w:style>
  <w:style w:type="paragraph" w:customStyle="1" w:styleId="mailcert5">
    <w:name w:val="mailcert5"/>
    <w:basedOn w:val="Normal"/>
    <w:next w:val="Normal"/>
    <w:pPr>
      <w:tabs>
        <w:tab w:val="left" w:pos="3600"/>
        <w:tab w:val="left" w:pos="4320"/>
        <w:tab w:val="left" w:pos="7920"/>
      </w:tabs>
      <w:spacing w:line="360" w:lineRule="atLeast"/>
      <w:ind w:firstLine="0"/>
    </w:pPr>
    <w:rPr>
      <w:sz w:val="20"/>
    </w:rPr>
  </w:style>
  <w:style w:type="paragraph" w:styleId="FootnoteText">
    <w:name w:val="footnote text"/>
    <w:basedOn w:val="Normal"/>
    <w:semiHidden/>
    <w:pPr>
      <w:spacing w:before="240"/>
      <w:ind w:firstLine="0"/>
    </w:pPr>
    <w:rPr>
      <w:sz w:val="20"/>
    </w:rPr>
  </w:style>
  <w:style w:type="paragraph" w:customStyle="1" w:styleId="datesig">
    <w:name w:val="datesig"/>
    <w:basedOn w:val="mailcert5"/>
    <w:next w:val="righthalf"/>
    <w:qFormat/>
    <w:rsid w:val="00150551"/>
    <w:pPr>
      <w:tabs>
        <w:tab w:val="clear" w:pos="3600"/>
        <w:tab w:val="clear" w:pos="7920"/>
        <w:tab w:val="left" w:pos="720"/>
        <w:tab w:val="center" w:pos="5040"/>
        <w:tab w:val="right" w:pos="9360"/>
      </w:tabs>
    </w:pPr>
    <w:rPr>
      <w:u w:val="single"/>
    </w:rPr>
  </w:style>
  <w:style w:type="character" w:styleId="FootnoteReference">
    <w:name w:val="footnote reference"/>
    <w:basedOn w:val="DefaultParagraphFont"/>
    <w:semiHidden/>
    <w:rPr>
      <w:position w:val="6"/>
      <w:sz w:val="20"/>
      <w:vertAlign w:val="baseline"/>
    </w:rPr>
  </w:style>
  <w:style w:type="paragraph" w:styleId="TOAHeading">
    <w:name w:val="toa heading"/>
    <w:basedOn w:val="Normal"/>
    <w:next w:val="TOC1"/>
    <w:semiHidden/>
    <w:pPr>
      <w:keepNext/>
      <w:ind w:firstLine="0"/>
      <w:jc w:val="center"/>
      <w:outlineLvl w:val="0"/>
    </w:pPr>
    <w:rPr>
      <w:rFonts w:ascii="Arial" w:hAnsi="Arial"/>
      <w:caps/>
      <w:sz w:val="28"/>
    </w:rPr>
  </w:style>
  <w:style w:type="paragraph" w:styleId="TOC1">
    <w:name w:val="toc 1"/>
    <w:basedOn w:val="Normal"/>
    <w:next w:val="Normal"/>
    <w:autoRedefine/>
    <w:semiHidden/>
    <w:pPr>
      <w:tabs>
        <w:tab w:val="left" w:pos="720"/>
        <w:tab w:val="right" w:leader="dot" w:pos="9350"/>
      </w:tabs>
      <w:spacing w:before="240" w:line="280" w:lineRule="atLeast"/>
      <w:ind w:left="720" w:right="720" w:hanging="720"/>
    </w:pPr>
    <w:rPr>
      <w:noProof/>
    </w:rPr>
  </w:style>
  <w:style w:type="paragraph" w:styleId="TOC2">
    <w:name w:val="toc 2"/>
    <w:basedOn w:val="Normal"/>
    <w:next w:val="Normal"/>
    <w:autoRedefine/>
    <w:semiHidden/>
    <w:pPr>
      <w:tabs>
        <w:tab w:val="left" w:pos="720"/>
        <w:tab w:val="left" w:pos="1440"/>
        <w:tab w:val="right" w:leader="dot" w:pos="9350"/>
      </w:tabs>
      <w:spacing w:before="240" w:line="280" w:lineRule="atLeast"/>
      <w:ind w:left="1440" w:right="720" w:hanging="720"/>
    </w:pPr>
    <w:rPr>
      <w:noProof/>
    </w:rPr>
  </w:style>
  <w:style w:type="paragraph" w:styleId="TOC3">
    <w:name w:val="toc 3"/>
    <w:basedOn w:val="Normal"/>
    <w:next w:val="Normal"/>
    <w:autoRedefine/>
    <w:semiHidden/>
    <w:pPr>
      <w:tabs>
        <w:tab w:val="left" w:pos="1440"/>
        <w:tab w:val="right" w:leader="dot" w:pos="9350"/>
      </w:tabs>
      <w:spacing w:before="240" w:line="280" w:lineRule="atLeast"/>
      <w:ind w:left="1800" w:right="720" w:hanging="720"/>
    </w:pPr>
    <w:rPr>
      <w:noProof/>
    </w:rPr>
  </w:style>
  <w:style w:type="paragraph" w:styleId="TOC4">
    <w:name w:val="toc 4"/>
    <w:basedOn w:val="Normal"/>
    <w:next w:val="Normal"/>
    <w:autoRedefine/>
    <w:semiHidden/>
    <w:pPr>
      <w:tabs>
        <w:tab w:val="left" w:pos="1800"/>
        <w:tab w:val="right" w:leader="dot" w:pos="9350"/>
      </w:tabs>
      <w:spacing w:before="240" w:line="280" w:lineRule="atLeast"/>
      <w:ind w:left="2160" w:right="720" w:hanging="720"/>
    </w:pPr>
    <w:rPr>
      <w:noProof/>
    </w:rPr>
  </w:style>
  <w:style w:type="paragraph" w:styleId="TOC5">
    <w:name w:val="toc 5"/>
    <w:basedOn w:val="Normal"/>
    <w:next w:val="Normal"/>
    <w:autoRedefine/>
    <w:semiHidden/>
    <w:pPr>
      <w:tabs>
        <w:tab w:val="left" w:pos="2160"/>
        <w:tab w:val="right" w:leader="dot" w:pos="9350"/>
      </w:tabs>
      <w:spacing w:before="240" w:line="280" w:lineRule="atLeast"/>
      <w:ind w:left="2520" w:right="720" w:hanging="720"/>
    </w:pPr>
    <w:rPr>
      <w:noProof/>
    </w:rPr>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pPr>
      <w:spacing w:before="240"/>
      <w:ind w:firstLine="0"/>
    </w:pPr>
    <w:rPr>
      <w:sz w:val="20"/>
    </w:rPr>
  </w:style>
  <w:style w:type="paragraph" w:styleId="EnvelopeAddress">
    <w:name w:val="envelope address"/>
    <w:basedOn w:val="Normal"/>
    <w:pPr>
      <w:framePr w:w="7920" w:h="1980" w:hRule="exact" w:hSpace="180" w:wrap="auto" w:hAnchor="page" w:xAlign="center" w:yAlign="bottom"/>
      <w:spacing w:line="280" w:lineRule="atLeast"/>
      <w:ind w:left="2880" w:firstLine="0"/>
      <w:jc w:val="left"/>
    </w:pPr>
  </w:style>
  <w:style w:type="paragraph" w:styleId="EnvelopeReturn">
    <w:name w:val="envelope return"/>
    <w:basedOn w:val="Normal"/>
    <w:pPr>
      <w:spacing w:line="240" w:lineRule="atLeast"/>
      <w:ind w:firstLine="0"/>
      <w:jc w:val="left"/>
    </w:pPr>
    <w:rPr>
      <w:sz w:val="20"/>
    </w:rPr>
  </w:style>
  <w:style w:type="paragraph" w:styleId="List">
    <w:name w:val="List"/>
    <w:basedOn w:val="Normal"/>
    <w:pPr>
      <w:ind w:left="1440" w:right="720" w:hanging="720"/>
    </w:pPr>
  </w:style>
  <w:style w:type="paragraph" w:styleId="List2">
    <w:name w:val="List 2"/>
    <w:basedOn w:val="Normal"/>
    <w:pPr>
      <w:ind w:left="2160" w:right="720" w:hanging="720"/>
    </w:pPr>
  </w:style>
  <w:style w:type="paragraph" w:styleId="List3">
    <w:name w:val="List 3"/>
    <w:basedOn w:val="Normal"/>
    <w:pPr>
      <w:ind w:left="2880" w:right="720" w:hanging="720"/>
    </w:pPr>
  </w:style>
  <w:style w:type="paragraph" w:styleId="List4">
    <w:name w:val="List 4"/>
    <w:basedOn w:val="Normal"/>
    <w:pPr>
      <w:ind w:left="3600" w:right="720" w:hanging="720"/>
    </w:pPr>
  </w:style>
  <w:style w:type="paragraph" w:styleId="List5">
    <w:name w:val="List 5"/>
    <w:basedOn w:val="Normal"/>
    <w:pPr>
      <w:ind w:left="4320" w:right="720" w:hanging="720"/>
    </w:pPr>
  </w:style>
  <w:style w:type="paragraph" w:styleId="ListBullet">
    <w:name w:val="List Bullet"/>
    <w:basedOn w:val="Normal"/>
    <w:autoRedefine/>
    <w:pPr>
      <w:numPr>
        <w:numId w:val="2"/>
      </w:numPr>
      <w:tabs>
        <w:tab w:val="clear" w:pos="360"/>
      </w:tabs>
      <w:ind w:left="1440" w:right="720" w:hanging="720"/>
    </w:pPr>
  </w:style>
  <w:style w:type="paragraph" w:styleId="ListBullet2">
    <w:name w:val="List Bullet 2"/>
    <w:basedOn w:val="Normal"/>
    <w:autoRedefine/>
    <w:pPr>
      <w:numPr>
        <w:numId w:val="4"/>
      </w:numPr>
      <w:tabs>
        <w:tab w:val="clear" w:pos="720"/>
      </w:tabs>
      <w:ind w:left="2160" w:right="720" w:hanging="720"/>
    </w:pPr>
  </w:style>
  <w:style w:type="paragraph" w:styleId="ListBullet3">
    <w:name w:val="List Bullet 3"/>
    <w:basedOn w:val="Normal"/>
    <w:autoRedefine/>
    <w:pPr>
      <w:numPr>
        <w:numId w:val="6"/>
      </w:numPr>
      <w:tabs>
        <w:tab w:val="clear" w:pos="1080"/>
      </w:tabs>
      <w:ind w:left="2880" w:right="720" w:hanging="720"/>
    </w:pPr>
  </w:style>
  <w:style w:type="paragraph" w:styleId="ListBullet4">
    <w:name w:val="List Bullet 4"/>
    <w:basedOn w:val="Normal"/>
    <w:autoRedefine/>
    <w:pPr>
      <w:numPr>
        <w:numId w:val="8"/>
      </w:numPr>
      <w:tabs>
        <w:tab w:val="clear" w:pos="1440"/>
      </w:tabs>
      <w:ind w:left="3600" w:right="720" w:hanging="720"/>
    </w:pPr>
  </w:style>
  <w:style w:type="paragraph" w:styleId="ListBullet5">
    <w:name w:val="List Bullet 5"/>
    <w:basedOn w:val="Normal"/>
    <w:autoRedefine/>
    <w:pPr>
      <w:numPr>
        <w:numId w:val="10"/>
      </w:numPr>
      <w:tabs>
        <w:tab w:val="clear" w:pos="1800"/>
      </w:tabs>
      <w:ind w:left="4320" w:right="720" w:hanging="720"/>
    </w:pPr>
  </w:style>
  <w:style w:type="paragraph" w:styleId="ListNumber">
    <w:name w:val="List Number"/>
    <w:basedOn w:val="Normal"/>
    <w:pPr>
      <w:numPr>
        <w:numId w:val="12"/>
      </w:numPr>
      <w:tabs>
        <w:tab w:val="clear" w:pos="360"/>
      </w:tabs>
      <w:ind w:left="1440" w:right="720" w:hanging="720"/>
    </w:pPr>
  </w:style>
  <w:style w:type="paragraph" w:styleId="ListNumber2">
    <w:name w:val="List Number 2"/>
    <w:basedOn w:val="Normal"/>
    <w:pPr>
      <w:numPr>
        <w:numId w:val="14"/>
      </w:numPr>
      <w:tabs>
        <w:tab w:val="clear" w:pos="720"/>
      </w:tabs>
      <w:ind w:left="2160" w:right="720" w:hanging="720"/>
    </w:pPr>
  </w:style>
  <w:style w:type="paragraph" w:styleId="ListNumber3">
    <w:name w:val="List Number 3"/>
    <w:basedOn w:val="Normal"/>
    <w:pPr>
      <w:numPr>
        <w:numId w:val="16"/>
      </w:numPr>
      <w:tabs>
        <w:tab w:val="clear" w:pos="1080"/>
      </w:tabs>
      <w:ind w:left="2880" w:right="720" w:hanging="720"/>
    </w:pPr>
  </w:style>
  <w:style w:type="paragraph" w:styleId="ListNumber4">
    <w:name w:val="List Number 4"/>
    <w:basedOn w:val="Normal"/>
    <w:pPr>
      <w:numPr>
        <w:numId w:val="18"/>
      </w:numPr>
      <w:tabs>
        <w:tab w:val="clear" w:pos="1440"/>
      </w:tabs>
      <w:ind w:left="3600" w:right="720" w:hanging="720"/>
    </w:pPr>
  </w:style>
  <w:style w:type="paragraph" w:styleId="ListNumber5">
    <w:name w:val="List Number 5"/>
    <w:basedOn w:val="Normal"/>
    <w:pPr>
      <w:numPr>
        <w:numId w:val="20"/>
      </w:numPr>
      <w:tabs>
        <w:tab w:val="clear" w:pos="1800"/>
      </w:tabs>
      <w:ind w:left="4320" w:right="720" w:hanging="720"/>
    </w:pPr>
  </w:style>
  <w:style w:type="paragraph" w:styleId="Title">
    <w:name w:val="Title"/>
    <w:basedOn w:val="Normal"/>
    <w:qFormat/>
    <w:rsid w:val="00150551"/>
    <w:pPr>
      <w:keepNext/>
      <w:keepLines/>
      <w:spacing w:before="240"/>
      <w:ind w:firstLine="0"/>
      <w:jc w:val="center"/>
    </w:pPr>
    <w:rPr>
      <w:b/>
      <w:caps/>
    </w:rPr>
  </w:style>
  <w:style w:type="paragraph" w:styleId="TOC6">
    <w:name w:val="toc 6"/>
    <w:basedOn w:val="Normal"/>
    <w:next w:val="Normal"/>
    <w:autoRedefine/>
    <w:semiHidden/>
    <w:pPr>
      <w:tabs>
        <w:tab w:val="left" w:pos="2520"/>
        <w:tab w:val="right" w:leader="dot" w:pos="9350"/>
      </w:tabs>
      <w:spacing w:before="240" w:line="280" w:lineRule="atLeast"/>
      <w:ind w:left="2880" w:right="720" w:hanging="720"/>
    </w:pPr>
    <w:rPr>
      <w:noProof/>
    </w:rPr>
  </w:style>
  <w:style w:type="paragraph" w:styleId="TOC7">
    <w:name w:val="toc 7"/>
    <w:basedOn w:val="Normal"/>
    <w:next w:val="Normal"/>
    <w:autoRedefine/>
    <w:semiHidden/>
    <w:pPr>
      <w:tabs>
        <w:tab w:val="left" w:pos="2880"/>
        <w:tab w:val="right" w:leader="dot" w:pos="9350"/>
      </w:tabs>
      <w:spacing w:before="240" w:line="280" w:lineRule="atLeast"/>
      <w:ind w:left="3240" w:right="720" w:hanging="720"/>
    </w:pPr>
    <w:rPr>
      <w:noProof/>
    </w:rPr>
  </w:style>
  <w:style w:type="paragraph" w:styleId="TOC8">
    <w:name w:val="toc 8"/>
    <w:basedOn w:val="Normal"/>
    <w:next w:val="Normal"/>
    <w:autoRedefine/>
    <w:semiHidden/>
    <w:pPr>
      <w:tabs>
        <w:tab w:val="left" w:pos="3240"/>
        <w:tab w:val="right" w:leader="dot" w:pos="9350"/>
      </w:tabs>
      <w:spacing w:before="240" w:line="280" w:lineRule="atLeast"/>
      <w:ind w:left="3600" w:right="720" w:hanging="720"/>
    </w:pPr>
    <w:rPr>
      <w:noProof/>
    </w:rPr>
  </w:style>
  <w:style w:type="paragraph" w:styleId="TOC9">
    <w:name w:val="toc 9"/>
    <w:basedOn w:val="Normal"/>
    <w:next w:val="Normal"/>
    <w:autoRedefine/>
    <w:semiHidden/>
    <w:pPr>
      <w:tabs>
        <w:tab w:val="left" w:pos="3600"/>
        <w:tab w:val="right" w:leader="dot" w:pos="9350"/>
      </w:tabs>
      <w:spacing w:before="240" w:line="280" w:lineRule="atLeast"/>
      <w:ind w:left="3960" w:right="720" w:hanging="720"/>
    </w:pPr>
    <w:rPr>
      <w:noProof/>
    </w:rPr>
  </w:style>
  <w:style w:type="paragraph" w:customStyle="1" w:styleId="claimsub2">
    <w:name w:val="claimsub2"/>
    <w:basedOn w:val="Normal"/>
    <w:rsid w:val="003434CA"/>
    <w:pPr>
      <w:ind w:left="1800" w:right="720"/>
    </w:pPr>
  </w:style>
  <w:style w:type="table" w:styleId="TableGrid">
    <w:name w:val="Table Grid"/>
    <w:basedOn w:val="TableNormal"/>
    <w:uiPriority w:val="59"/>
    <w:rsid w:val="000E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57"/>
    <w:rPr>
      <w:rFonts w:ascii="Tahoma" w:hAnsi="Tahoma" w:cs="Tahoma"/>
      <w:sz w:val="16"/>
      <w:szCs w:val="16"/>
    </w:rPr>
  </w:style>
  <w:style w:type="character" w:styleId="CommentReference">
    <w:name w:val="annotation reference"/>
    <w:basedOn w:val="DefaultParagraphFont"/>
    <w:uiPriority w:val="99"/>
    <w:semiHidden/>
    <w:unhideWhenUsed/>
    <w:rsid w:val="00AE0D80"/>
    <w:rPr>
      <w:sz w:val="16"/>
      <w:szCs w:val="16"/>
    </w:rPr>
  </w:style>
  <w:style w:type="paragraph" w:styleId="CommentText">
    <w:name w:val="annotation text"/>
    <w:basedOn w:val="Normal"/>
    <w:link w:val="CommentTextChar"/>
    <w:uiPriority w:val="99"/>
    <w:semiHidden/>
    <w:unhideWhenUsed/>
    <w:rsid w:val="00AE0D80"/>
    <w:pPr>
      <w:spacing w:line="240" w:lineRule="auto"/>
    </w:pPr>
    <w:rPr>
      <w:sz w:val="20"/>
    </w:rPr>
  </w:style>
  <w:style w:type="character" w:customStyle="1" w:styleId="CommentTextChar">
    <w:name w:val="Comment Text Char"/>
    <w:basedOn w:val="DefaultParagraphFont"/>
    <w:link w:val="CommentText"/>
    <w:uiPriority w:val="99"/>
    <w:semiHidden/>
    <w:rsid w:val="00AE0D80"/>
  </w:style>
  <w:style w:type="paragraph" w:styleId="CommentSubject">
    <w:name w:val="annotation subject"/>
    <w:basedOn w:val="CommentText"/>
    <w:next w:val="CommentText"/>
    <w:link w:val="CommentSubjectChar"/>
    <w:uiPriority w:val="99"/>
    <w:semiHidden/>
    <w:unhideWhenUsed/>
    <w:rsid w:val="00AE0D80"/>
    <w:rPr>
      <w:b/>
      <w:bCs/>
    </w:rPr>
  </w:style>
  <w:style w:type="character" w:customStyle="1" w:styleId="CommentSubjectChar">
    <w:name w:val="Comment Subject Char"/>
    <w:basedOn w:val="CommentTextChar"/>
    <w:link w:val="CommentSubject"/>
    <w:uiPriority w:val="99"/>
    <w:semiHidden/>
    <w:rsid w:val="00AE0D80"/>
    <w:rPr>
      <w:b/>
      <w:bCs/>
    </w:rPr>
  </w:style>
  <w:style w:type="paragraph" w:customStyle="1" w:styleId="StandardL1">
    <w:name w:val="Standard_L1"/>
    <w:basedOn w:val="Normal"/>
    <w:link w:val="StandardL1Char"/>
    <w:rsid w:val="00495317"/>
    <w:pPr>
      <w:numPr>
        <w:numId w:val="21"/>
      </w:numPr>
      <w:spacing w:after="240" w:line="240" w:lineRule="auto"/>
      <w:outlineLvl w:val="0"/>
    </w:pPr>
    <w:rPr>
      <w:sz w:val="22"/>
    </w:rPr>
  </w:style>
  <w:style w:type="paragraph" w:customStyle="1" w:styleId="StandardL2">
    <w:name w:val="Standard_L2"/>
    <w:basedOn w:val="StandardL1"/>
    <w:link w:val="StandardL2Char"/>
    <w:rsid w:val="00495317"/>
    <w:pPr>
      <w:numPr>
        <w:ilvl w:val="1"/>
      </w:numPr>
      <w:outlineLvl w:val="1"/>
    </w:pPr>
  </w:style>
  <w:style w:type="paragraph" w:customStyle="1" w:styleId="StandardL3">
    <w:name w:val="Standard_L3"/>
    <w:basedOn w:val="StandardL2"/>
    <w:link w:val="StandardL3Char"/>
    <w:rsid w:val="00495317"/>
    <w:pPr>
      <w:numPr>
        <w:ilvl w:val="2"/>
      </w:numPr>
      <w:outlineLvl w:val="2"/>
    </w:pPr>
  </w:style>
  <w:style w:type="paragraph" w:customStyle="1" w:styleId="StandardL4">
    <w:name w:val="Standard_L4"/>
    <w:basedOn w:val="StandardL3"/>
    <w:rsid w:val="00495317"/>
    <w:pPr>
      <w:numPr>
        <w:ilvl w:val="3"/>
      </w:numPr>
      <w:tabs>
        <w:tab w:val="clear" w:pos="2880"/>
        <w:tab w:val="num" w:pos="360"/>
      </w:tabs>
      <w:ind w:left="360" w:hanging="360"/>
      <w:outlineLvl w:val="3"/>
    </w:pPr>
  </w:style>
  <w:style w:type="paragraph" w:customStyle="1" w:styleId="StandardL5">
    <w:name w:val="Standard_L5"/>
    <w:basedOn w:val="StandardL4"/>
    <w:rsid w:val="00495317"/>
    <w:pPr>
      <w:numPr>
        <w:ilvl w:val="4"/>
      </w:numPr>
      <w:tabs>
        <w:tab w:val="clear" w:pos="3600"/>
        <w:tab w:val="num" w:pos="360"/>
      </w:tabs>
      <w:ind w:left="360" w:hanging="360"/>
      <w:outlineLvl w:val="4"/>
    </w:pPr>
  </w:style>
  <w:style w:type="paragraph" w:customStyle="1" w:styleId="StandardL6">
    <w:name w:val="Standard_L6"/>
    <w:basedOn w:val="StandardL5"/>
    <w:rsid w:val="00495317"/>
    <w:pPr>
      <w:numPr>
        <w:ilvl w:val="5"/>
      </w:numPr>
      <w:tabs>
        <w:tab w:val="clear" w:pos="4320"/>
        <w:tab w:val="num" w:pos="360"/>
      </w:tabs>
      <w:ind w:left="360" w:hanging="360"/>
      <w:outlineLvl w:val="5"/>
    </w:pPr>
  </w:style>
  <w:style w:type="paragraph" w:customStyle="1" w:styleId="StandardL7">
    <w:name w:val="Standard_L7"/>
    <w:basedOn w:val="StandardL6"/>
    <w:rsid w:val="00495317"/>
    <w:pPr>
      <w:numPr>
        <w:ilvl w:val="6"/>
      </w:numPr>
      <w:tabs>
        <w:tab w:val="clear" w:pos="5040"/>
        <w:tab w:val="num" w:pos="360"/>
      </w:tabs>
      <w:ind w:left="360" w:hanging="360"/>
      <w:outlineLvl w:val="6"/>
    </w:pPr>
  </w:style>
  <w:style w:type="paragraph" w:customStyle="1" w:styleId="StandardL8">
    <w:name w:val="Standard_L8"/>
    <w:basedOn w:val="StandardL7"/>
    <w:rsid w:val="00495317"/>
    <w:pPr>
      <w:numPr>
        <w:ilvl w:val="7"/>
      </w:numPr>
      <w:tabs>
        <w:tab w:val="clear" w:pos="5760"/>
        <w:tab w:val="num" w:pos="360"/>
      </w:tabs>
      <w:ind w:left="360" w:hanging="360"/>
      <w:outlineLvl w:val="7"/>
    </w:pPr>
  </w:style>
  <w:style w:type="paragraph" w:customStyle="1" w:styleId="StandardL9">
    <w:name w:val="Standard_L9"/>
    <w:basedOn w:val="StandardL8"/>
    <w:rsid w:val="00495317"/>
    <w:pPr>
      <w:numPr>
        <w:ilvl w:val="8"/>
      </w:numPr>
      <w:tabs>
        <w:tab w:val="clear" w:pos="6480"/>
        <w:tab w:val="num" w:pos="360"/>
      </w:tabs>
      <w:ind w:left="360" w:hanging="360"/>
      <w:outlineLvl w:val="8"/>
    </w:pPr>
  </w:style>
  <w:style w:type="character" w:customStyle="1" w:styleId="StandardL1Char">
    <w:name w:val="Standard_L1 Char"/>
    <w:link w:val="StandardL1"/>
    <w:rsid w:val="00495317"/>
    <w:rPr>
      <w:sz w:val="22"/>
    </w:rPr>
  </w:style>
  <w:style w:type="character" w:customStyle="1" w:styleId="StandardL2Char">
    <w:name w:val="Standard_L2 Char"/>
    <w:link w:val="StandardL2"/>
    <w:rsid w:val="00495317"/>
    <w:rPr>
      <w:sz w:val="22"/>
    </w:rPr>
  </w:style>
  <w:style w:type="character" w:customStyle="1" w:styleId="StandardL3Char">
    <w:name w:val="Standard_L3 Char"/>
    <w:link w:val="StandardL3"/>
    <w:rsid w:val="004953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319">
      <w:bodyDiv w:val="1"/>
      <w:marLeft w:val="0"/>
      <w:marRight w:val="0"/>
      <w:marTop w:val="0"/>
      <w:marBottom w:val="0"/>
      <w:divBdr>
        <w:top w:val="none" w:sz="0" w:space="0" w:color="auto"/>
        <w:left w:val="none" w:sz="0" w:space="0" w:color="auto"/>
        <w:bottom w:val="none" w:sz="0" w:space="0" w:color="auto"/>
        <w:right w:val="none" w:sz="0" w:space="0" w:color="auto"/>
      </w:divBdr>
    </w:div>
    <w:div w:id="151264680">
      <w:bodyDiv w:val="1"/>
      <w:marLeft w:val="0"/>
      <w:marRight w:val="0"/>
      <w:marTop w:val="0"/>
      <w:marBottom w:val="0"/>
      <w:divBdr>
        <w:top w:val="none" w:sz="0" w:space="0" w:color="auto"/>
        <w:left w:val="none" w:sz="0" w:space="0" w:color="auto"/>
        <w:bottom w:val="none" w:sz="0" w:space="0" w:color="auto"/>
        <w:right w:val="none" w:sz="0" w:space="0" w:color="auto"/>
      </w:divBdr>
    </w:div>
    <w:div w:id="366490514">
      <w:bodyDiv w:val="1"/>
      <w:marLeft w:val="0"/>
      <w:marRight w:val="0"/>
      <w:marTop w:val="0"/>
      <w:marBottom w:val="0"/>
      <w:divBdr>
        <w:top w:val="none" w:sz="0" w:space="0" w:color="auto"/>
        <w:left w:val="none" w:sz="0" w:space="0" w:color="auto"/>
        <w:bottom w:val="none" w:sz="0" w:space="0" w:color="auto"/>
        <w:right w:val="none" w:sz="0" w:space="0" w:color="auto"/>
      </w:divBdr>
    </w:div>
    <w:div w:id="558979279">
      <w:bodyDiv w:val="1"/>
      <w:marLeft w:val="0"/>
      <w:marRight w:val="0"/>
      <w:marTop w:val="0"/>
      <w:marBottom w:val="0"/>
      <w:divBdr>
        <w:top w:val="none" w:sz="0" w:space="0" w:color="auto"/>
        <w:left w:val="none" w:sz="0" w:space="0" w:color="auto"/>
        <w:bottom w:val="none" w:sz="0" w:space="0" w:color="auto"/>
        <w:right w:val="none" w:sz="0" w:space="0" w:color="auto"/>
      </w:divBdr>
    </w:div>
    <w:div w:id="749549300">
      <w:bodyDiv w:val="1"/>
      <w:marLeft w:val="0"/>
      <w:marRight w:val="0"/>
      <w:marTop w:val="0"/>
      <w:marBottom w:val="0"/>
      <w:divBdr>
        <w:top w:val="none" w:sz="0" w:space="0" w:color="auto"/>
        <w:left w:val="none" w:sz="0" w:space="0" w:color="auto"/>
        <w:bottom w:val="none" w:sz="0" w:space="0" w:color="auto"/>
        <w:right w:val="none" w:sz="0" w:space="0" w:color="auto"/>
      </w:divBdr>
    </w:div>
    <w:div w:id="904023469">
      <w:bodyDiv w:val="1"/>
      <w:marLeft w:val="0"/>
      <w:marRight w:val="0"/>
      <w:marTop w:val="0"/>
      <w:marBottom w:val="0"/>
      <w:divBdr>
        <w:top w:val="none" w:sz="0" w:space="0" w:color="auto"/>
        <w:left w:val="none" w:sz="0" w:space="0" w:color="auto"/>
        <w:bottom w:val="none" w:sz="0" w:space="0" w:color="auto"/>
        <w:right w:val="none" w:sz="0" w:space="0" w:color="auto"/>
      </w:divBdr>
    </w:div>
    <w:div w:id="1245454445">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913807972">
      <w:bodyDiv w:val="1"/>
      <w:marLeft w:val="0"/>
      <w:marRight w:val="0"/>
      <w:marTop w:val="0"/>
      <w:marBottom w:val="0"/>
      <w:divBdr>
        <w:top w:val="none" w:sz="0" w:space="0" w:color="auto"/>
        <w:left w:val="none" w:sz="0" w:space="0" w:color="auto"/>
        <w:bottom w:val="none" w:sz="0" w:space="0" w:color="auto"/>
        <w:right w:val="none" w:sz="0" w:space="0" w:color="auto"/>
      </w:divBdr>
    </w:div>
    <w:div w:id="1968705506">
      <w:bodyDiv w:val="1"/>
      <w:marLeft w:val="0"/>
      <w:marRight w:val="0"/>
      <w:marTop w:val="0"/>
      <w:marBottom w:val="0"/>
      <w:divBdr>
        <w:top w:val="none" w:sz="0" w:space="0" w:color="auto"/>
        <w:left w:val="none" w:sz="0" w:space="0" w:color="auto"/>
        <w:bottom w:val="none" w:sz="0" w:space="0" w:color="auto"/>
        <w:right w:val="none" w:sz="0" w:space="0" w:color="auto"/>
      </w:divBdr>
    </w:div>
    <w:div w:id="20181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044AF5740F849BEC4E99044488F36" ma:contentTypeVersion="13" ma:contentTypeDescription="Create a new document." ma:contentTypeScope="" ma:versionID="743e474118f5a52b1f662e366097475f">
  <xsd:schema xmlns:xsd="http://www.w3.org/2001/XMLSchema" xmlns:xs="http://www.w3.org/2001/XMLSchema" xmlns:p="http://schemas.microsoft.com/office/2006/metadata/properties" xmlns:ns2="5a62437f-f7b5-48f9-b775-ec0347000a7a" xmlns:ns3="c145ff2d-9dde-4547-a298-b052d10d2d51" targetNamespace="http://schemas.microsoft.com/office/2006/metadata/properties" ma:root="true" ma:fieldsID="74d20818c328772b46cf549077ddc300" ns2:_="" ns3:_="">
    <xsd:import namespace="5a62437f-f7b5-48f9-b775-ec0347000a7a"/>
    <xsd:import namespace="c145ff2d-9dde-4547-a298-b052d10d2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2437f-f7b5-48f9-b775-ec0347000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5ff2d-9dde-4547-a298-b052d10d2d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D833-23F2-4ECE-B5D5-3C81F7DE6370}">
  <ds:schemaRefs>
    <ds:schemaRef ds:uri="http://schemas.microsoft.com/sharepoint/v3/contenttype/forms"/>
  </ds:schemaRefs>
</ds:datastoreItem>
</file>

<file path=customXml/itemProps2.xml><?xml version="1.0" encoding="utf-8"?>
<ds:datastoreItem xmlns:ds="http://schemas.openxmlformats.org/officeDocument/2006/customXml" ds:itemID="{2A6CAD28-1246-4C13-A4B9-28EC53CC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2437f-f7b5-48f9-b775-ec0347000a7a"/>
    <ds:schemaRef ds:uri="c145ff2d-9dde-4547-a298-b052d10d2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4E6EC-9CA0-40C3-A4D6-0F435A616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161D32-551F-5B43-96CA-F2DFDE66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2432</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2020-04-01T18:03:00Z</dcterms:created>
  <dcterms:modified xsi:type="dcterms:W3CDTF">2020-04-01T18:05:00Z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0x010100E63044AF5740F849BEC4E99044488F36</vt:lpwstr>
  </property>
  <property fmtid="{D5CDD505-2E9C-101B-9397-08002B2CF9AE}" pid="3" name="Order">
    <vt:r8>7199500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